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sz w:val="26"/>
        </w:rPr>
        <w:t>MA TRẬN VÀ ĐẶC TẢ ĐỀ KIỂM TRA GIỮA HỌC KÌ II – NĂM HỌC 2026-2027</w:t>
      </w:r>
    </w:p>
    <w:p>
      <w:pPr>
        <w:spacing w:after="40"/>
        <w:jc w:val="center"/>
      </w:pPr>
      <w:r>
        <w:rPr>
          <w:b/>
          <w:i w:val="0"/>
          <w:sz w:val="26"/>
        </w:rPr>
        <w:t>MÔN: TIẾNG ANH 10</w:t>
      </w:r>
    </w:p>
    <w:p>
      <w:pPr>
        <w:spacing w:after="40"/>
        <w:jc w:val="center"/>
      </w:pPr>
      <w:r>
        <w:rPr>
          <w:b w:val="0"/>
          <w:i/>
          <w:color w:val="C00000"/>
          <w:sz w:val="18"/>
        </w:rPr>
        <w:t>Tài liệu tham khảo – theo Chương trình GDPT 2018, sách Kết nối tri thức với cuộc sống; tổ chuyên môn điều chỉnh theo phân phối chương trình của nhà trường.</w:t>
      </w:r>
    </w:p>
    <w:p>
      <w:pPr>
        <w:spacing w:after="40"/>
      </w:pPr>
      <w:r>
        <w:rPr>
          <w:b w:val="0"/>
          <w:i w:val="0"/>
          <w:sz w:val="22"/>
        </w:rPr>
        <w:t>- Thời điểm kiểm tra: Giữa học kì II</w:t>
      </w:r>
    </w:p>
    <w:p>
      <w:pPr>
        <w:spacing w:after="40"/>
      </w:pPr>
      <w:r>
        <w:rPr>
          <w:b w:val="0"/>
          <w:i w:val="0"/>
          <w:sz w:val="22"/>
        </w:rPr>
        <w:t>- Thời gian làm bài: 45 phút</w:t>
      </w:r>
    </w:p>
    <w:p>
      <w:pPr>
        <w:spacing w:after="40"/>
      </w:pPr>
      <w:r>
        <w:rPr>
          <w:b w:val="0"/>
          <w:i w:val="0"/>
          <w:sz w:val="22"/>
        </w:rPr>
        <w:t>- Hình thức kiểm tra: trắc nghiệm</w:t>
      </w:r>
    </w:p>
    <w:p>
      <w:pPr>
        <w:spacing w:after="40"/>
      </w:pPr>
      <w:r>
        <w:rPr>
          <w:b w:val="0"/>
          <w:i w:val="0"/>
          <w:sz w:val="22"/>
        </w:rPr>
        <w:t>- Cấu trúc:</w:t>
      </w:r>
    </w:p>
    <w:p>
      <w:pPr>
        <w:spacing w:after="40"/>
      </w:pPr>
      <w:r>
        <w:rPr>
          <w:b w:val="0"/>
          <w:i w:val="0"/>
          <w:sz w:val="22"/>
        </w:rPr>
        <w:t xml:space="preserve">    + Phần I. Trắc nghiệm nhiều lựa chọn: 40 câu – 10 điểm (100%)</w:t>
      </w:r>
    </w:p>
    <w:p>
      <w:pPr>
        <w:spacing w:after="40"/>
      </w:pPr>
      <w:r>
        <w:rPr>
          <w:b w:val="0"/>
          <w:i w:val="0"/>
          <w:sz w:val="22"/>
        </w:rPr>
        <w:t>- Mức độ nhận thức: Nhận biết 40% – Thông hiểu 30% – Vận dụng 30%</w:t>
      </w:r>
    </w:p>
    <w:p>
      <w:pPr>
        <w:spacing w:after="40"/>
      </w:pPr>
      <w:r>
        <w:rPr>
          <w:b w:val="0"/>
          <w:i w:val="0"/>
          <w:sz w:val="22"/>
        </w:rPr>
        <w:t>- Phạm vi nội dung: Chủ đề 1 – Từ vựng – Ngữ pháp theo chủ điểm; Chủ đề 2 – Ngữ âm; Chủ đề 3 – Giao tiếp; Chủ đề 4 – Đọc hiểu; Chủ đề 5 – Viết</w:t>
      </w:r>
    </w:p>
    <w:p>
      <w:pPr>
        <w:spacing w:after="40"/>
      </w:pPr>
      <w:r>
        <w:rPr>
          <w:b/>
          <w:i w:val="0"/>
          <w:sz w:val="22"/>
        </w:rPr>
        <w:t>I. MA TRẬN</w:t>
      </w:r>
    </w:p>
    <w:tbl>
      <w:tblPr>
        <w:tblStyle w:val="TableGrid"/>
        <w:tblW w:type="auto" w:w="0"/>
        <w:jc w:val="center"/>
        <w:tblLook w:firstColumn="1" w:firstRow="1" w:lastColumn="0" w:lastRow="0" w:noHBand="0" w:noVBand="1" w:val="04A0"/>
      </w:tblPr>
      <w:tblGrid>
        <w:gridCol w:w="510"/>
        <w:gridCol w:w="1600"/>
        <w:gridCol w:w="9259"/>
        <w:gridCol w:w="652"/>
        <w:gridCol w:w="652"/>
        <w:gridCol w:w="652"/>
        <w:gridCol w:w="963"/>
        <w:gridCol w:w="850"/>
      </w:tblGrid>
      <w:tr>
        <w:tc>
          <w:tcPr>
            <w:tcW w:type="dxa" w:w="510"/>
            <w:vMerge w:val="restart"/>
            <w:shd w:val="clear" w:color="auto" w:fill="D9E2F3"/>
          </w:tcPr>
          <w:p>
            <w:pPr>
              <w:spacing w:after="20"/>
              <w:jc w:val="center"/>
            </w:pPr>
            <w:r/>
            <w:r>
              <w:rPr>
                <w:rFonts w:ascii="Times New Roman" w:hAnsi="Times New Roman"/>
                <w:b/>
                <w:sz w:val="18"/>
              </w:rPr>
              <w:t>TT</w:t>
            </w:r>
          </w:p>
        </w:tc>
        <w:tc>
          <w:tcPr>
            <w:tcW w:type="dxa" w:w="1600"/>
            <w:vMerge w:val="restart"/>
            <w:shd w:val="clear" w:color="auto" w:fill="D9E2F3"/>
          </w:tcPr>
          <w:p>
            <w:pPr>
              <w:spacing w:after="20"/>
              <w:jc w:val="center"/>
            </w:pPr>
            <w:r/>
            <w:r>
              <w:rPr>
                <w:rFonts w:ascii="Times New Roman" w:hAnsi="Times New Roman"/>
                <w:b/>
                <w:sz w:val="18"/>
              </w:rPr>
              <w:t>Nội dung kiến thức</w:t>
            </w:r>
          </w:p>
        </w:tc>
        <w:tc>
          <w:tcPr>
            <w:tcW w:type="dxa" w:w="9259"/>
            <w:vMerge w:val="restart"/>
            <w:shd w:val="clear" w:color="auto" w:fill="D9E2F3"/>
          </w:tcPr>
          <w:p>
            <w:pPr>
              <w:spacing w:after="20"/>
              <w:jc w:val="center"/>
            </w:pPr>
            <w:r/>
            <w:r>
              <w:rPr>
                <w:rFonts w:ascii="Times New Roman" w:hAnsi="Times New Roman"/>
                <w:b/>
                <w:sz w:val="18"/>
              </w:rPr>
              <w:t>Đơn vị kiến thức</w:t>
            </w:r>
          </w:p>
        </w:tc>
        <w:tc>
          <w:tcPr>
            <w:tcW w:type="dxa" w:w="1956"/>
            <w:gridSpan w:val="3"/>
            <w:shd w:val="clear" w:color="auto" w:fill="D9E2F3"/>
          </w:tcPr>
          <w:p>
            <w:pPr>
              <w:spacing w:after="20"/>
              <w:jc w:val="center"/>
            </w:pPr>
            <w:r/>
            <w:r>
              <w:rPr>
                <w:rFonts w:ascii="Times New Roman" w:hAnsi="Times New Roman"/>
                <w:b/>
                <w:sz w:val="18"/>
              </w:rPr>
              <w:t>Số câu hỏi theo mức độ nhận thức</w:t>
            </w:r>
          </w:p>
        </w:tc>
        <w:tc>
          <w:tcPr>
            <w:tcW w:type="dxa" w:w="963"/>
            <w:vMerge w:val="restart"/>
            <w:shd w:val="clear" w:color="auto" w:fill="D9E2F3"/>
          </w:tcPr>
          <w:p>
            <w:pPr>
              <w:spacing w:after="20"/>
              <w:jc w:val="center"/>
            </w:pPr>
            <w:r/>
            <w:r>
              <w:rPr>
                <w:rFonts w:ascii="Times New Roman" w:hAnsi="Times New Roman"/>
                <w:b/>
                <w:sz w:val="18"/>
              </w:rPr>
              <w:t>Tổng</w:t>
              <w:br/>
              <w:t>số câu/ý</w:t>
            </w:r>
          </w:p>
        </w:tc>
        <w:tc>
          <w:tcPr>
            <w:tcW w:type="dxa" w:w="850"/>
            <w:vMerge w:val="restart"/>
            <w:shd w:val="clear" w:color="auto" w:fill="D9E2F3"/>
          </w:tcPr>
          <w:p>
            <w:pPr>
              <w:spacing w:after="20"/>
              <w:jc w:val="center"/>
            </w:pPr>
            <w:r/>
            <w:r>
              <w:rPr>
                <w:rFonts w:ascii="Times New Roman" w:hAnsi="Times New Roman"/>
                <w:b/>
                <w:sz w:val="18"/>
              </w:rPr>
              <w:t>Tỉ lệ</w:t>
              <w:br/>
              <w:t>(%)</w:t>
            </w:r>
          </w:p>
        </w:tc>
      </w:tr>
      <w:tr>
        <w:tc>
          <w:tcPr>
            <w:tcW w:type="dxa" w:w="510"/>
            <w:vMerge/>
          </w:tcPr>
          <w:p/>
        </w:tc>
        <w:tc>
          <w:tcPr>
            <w:tcW w:type="dxa" w:w="1600"/>
            <w:vMerge/>
          </w:tcPr>
          <w:p/>
        </w:tc>
        <w:tc>
          <w:tcPr>
            <w:tcW w:type="dxa" w:w="9259"/>
            <w:vMerge/>
          </w:tcPr>
          <w:p/>
        </w:tc>
        <w:tc>
          <w:tcPr>
            <w:tcW w:type="dxa" w:w="1956"/>
            <w:gridSpan w:val="3"/>
            <w:shd w:val="clear" w:color="auto" w:fill="D9E2F3"/>
          </w:tcPr>
          <w:p>
            <w:pPr>
              <w:spacing w:after="20"/>
              <w:jc w:val="center"/>
            </w:pPr>
            <w:r/>
            <w:r>
              <w:rPr>
                <w:rFonts w:ascii="Times New Roman" w:hAnsi="Times New Roman"/>
                <w:b/>
                <w:sz w:val="18"/>
              </w:rPr>
              <w:t>Phần I: Trắc nghiệm nhiều lựa chọn</w:t>
            </w:r>
          </w:p>
        </w:tc>
        <w:tc>
          <w:tcPr>
            <w:tcW w:type="dxa" w:w="963"/>
            <w:vMerge/>
          </w:tcPr>
          <w:p/>
        </w:tc>
        <w:tc>
          <w:tcPr>
            <w:tcW w:type="dxa" w:w="850"/>
            <w:vMerge/>
          </w:tcPr>
          <w:p/>
        </w:tc>
      </w:tr>
      <w:tr>
        <w:tc>
          <w:tcPr>
            <w:tcW w:type="dxa" w:w="510"/>
            <w:vMerge/>
          </w:tcPr>
          <w:p/>
        </w:tc>
        <w:tc>
          <w:tcPr>
            <w:tcW w:type="dxa" w:w="1600"/>
            <w:vMerge/>
          </w:tcPr>
          <w:p/>
        </w:tc>
        <w:tc>
          <w:tcPr>
            <w:tcW w:type="dxa" w:w="9259"/>
            <w:vMerge/>
          </w:tcPr>
          <w:p/>
        </w:tc>
        <w:tc>
          <w:tcPr>
            <w:tcW w:type="dxa" w:w="652"/>
            <w:shd w:val="clear" w:color="auto" w:fill="D9E2F3"/>
          </w:tcPr>
          <w:p>
            <w:pPr>
              <w:spacing w:after="20"/>
              <w:jc w:val="center"/>
            </w:pPr>
            <w:r/>
            <w:r>
              <w:rPr>
                <w:rFonts w:ascii="Times New Roman" w:hAnsi="Times New Roman"/>
                <w:b/>
                <w:sz w:val="18"/>
              </w:rPr>
              <w:t>NB</w:t>
            </w:r>
          </w:p>
        </w:tc>
        <w:tc>
          <w:tcPr>
            <w:tcW w:type="dxa" w:w="652"/>
            <w:shd w:val="clear" w:color="auto" w:fill="D9E2F3"/>
          </w:tcPr>
          <w:p>
            <w:pPr>
              <w:spacing w:after="20"/>
              <w:jc w:val="center"/>
            </w:pPr>
            <w:r/>
            <w:r>
              <w:rPr>
                <w:rFonts w:ascii="Times New Roman" w:hAnsi="Times New Roman"/>
                <w:b/>
                <w:sz w:val="18"/>
              </w:rPr>
              <w:t>TH</w:t>
            </w:r>
          </w:p>
        </w:tc>
        <w:tc>
          <w:tcPr>
            <w:tcW w:type="dxa" w:w="652"/>
            <w:shd w:val="clear" w:color="auto" w:fill="D9E2F3"/>
          </w:tcPr>
          <w:p>
            <w:pPr>
              <w:spacing w:after="20"/>
              <w:jc w:val="center"/>
            </w:pPr>
            <w:r/>
            <w:r>
              <w:rPr>
                <w:rFonts w:ascii="Times New Roman" w:hAnsi="Times New Roman"/>
                <w:b/>
                <w:sz w:val="18"/>
              </w:rPr>
              <w:t>VD</w:t>
            </w:r>
          </w:p>
        </w:tc>
        <w:tc>
          <w:tcPr>
            <w:tcW w:type="dxa" w:w="963"/>
            <w:vMerge/>
          </w:tcPr>
          <w:p/>
        </w:tc>
        <w:tc>
          <w:tcPr>
            <w:tcW w:type="dxa" w:w="850"/>
            <w:vMerge/>
          </w:tcPr>
          <w:p/>
        </w:tc>
      </w:tr>
      <w:tr>
        <w:tc>
          <w:tcPr>
            <w:tcW w:type="dxa" w:w="510"/>
            <w:vMerge w:val="restart"/>
          </w:tcPr>
          <w:p>
            <w:pPr>
              <w:spacing w:after="20"/>
              <w:jc w:val="center"/>
            </w:pPr>
            <w:r/>
            <w:r>
              <w:rPr>
                <w:rFonts w:ascii="Times New Roman" w:hAnsi="Times New Roman"/>
                <w:b w:val="0"/>
                <w:sz w:val="18"/>
              </w:rPr>
              <w:t>1</w:t>
            </w:r>
          </w:p>
        </w:tc>
        <w:tc>
          <w:tcPr>
            <w:tcW w:type="dxa" w:w="1600"/>
            <w:vMerge w:val="restart"/>
          </w:tcPr>
          <w:p>
            <w:pPr>
              <w:spacing w:after="20"/>
              <w:jc w:val="left"/>
            </w:pPr>
            <w:r/>
            <w:r>
              <w:rPr>
                <w:rFonts w:ascii="Times New Roman" w:hAnsi="Times New Roman"/>
                <w:b/>
                <w:sz w:val="18"/>
              </w:rPr>
              <w:t>Từ vựng – Ngữ pháp theo chủ điểm</w:t>
            </w:r>
          </w:p>
        </w:tc>
        <w:tc>
          <w:tcPr>
            <w:tcW w:type="dxa" w:w="9259"/>
          </w:tcPr>
          <w:p>
            <w:pPr>
              <w:spacing w:after="20"/>
              <w:jc w:val="left"/>
            </w:pPr>
            <w:r/>
            <w:r>
              <w:rPr>
                <w:rFonts w:ascii="Times New Roman" w:hAnsi="Times New Roman"/>
                <w:b w:val="0"/>
                <w:sz w:val="18"/>
              </w:rPr>
              <w:t>Unit 6: Gender equality</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3</w:t>
            </w:r>
          </w:p>
        </w:tc>
        <w:tc>
          <w:tcPr>
            <w:tcW w:type="dxa" w:w="963"/>
          </w:tcPr>
          <w:p>
            <w:pPr>
              <w:spacing w:after="20"/>
              <w:jc w:val="center"/>
            </w:pPr>
            <w:r/>
            <w:r>
              <w:rPr>
                <w:rFonts w:ascii="Times New Roman" w:hAnsi="Times New Roman"/>
                <w:b w:val="0"/>
                <w:sz w:val="18"/>
              </w:rPr>
              <w:t>7</w:t>
            </w:r>
          </w:p>
        </w:tc>
        <w:tc>
          <w:tcPr>
            <w:tcW w:type="dxa" w:w="850"/>
          </w:tcPr>
          <w:p>
            <w:pPr>
              <w:spacing w:after="20"/>
              <w:jc w:val="center"/>
            </w:pPr>
            <w:r/>
            <w:r>
              <w:rPr>
                <w:rFonts w:ascii="Times New Roman" w:hAnsi="Times New Roman"/>
                <w:b w:val="0"/>
                <w:sz w:val="18"/>
              </w:rPr>
              <w:t>17,5%</w:t>
            </w:r>
          </w:p>
        </w:tc>
      </w:tr>
      <w:tr>
        <w:tc>
          <w:tcPr>
            <w:tcW w:type="dxa" w:w="510"/>
            <w:vMerge/>
          </w:tcPr>
          <w:p/>
        </w:tc>
        <w:tc>
          <w:tcPr>
            <w:tcW w:type="dxa" w:w="1600"/>
            <w:vMerge/>
          </w:tcPr>
          <w:p/>
        </w:tc>
        <w:tc>
          <w:tcPr>
            <w:tcW w:type="dxa" w:w="9259"/>
          </w:tcPr>
          <w:p>
            <w:pPr>
              <w:spacing w:after="20"/>
              <w:jc w:val="left"/>
            </w:pPr>
            <w:r/>
            <w:r>
              <w:rPr>
                <w:rFonts w:ascii="Times New Roman" w:hAnsi="Times New Roman"/>
                <w:b w:val="0"/>
                <w:sz w:val="18"/>
              </w:rPr>
              <w:t>Unit 7: Viet Nam and international organisations</w:t>
            </w:r>
          </w:p>
        </w:tc>
        <w:tc>
          <w:tcPr>
            <w:tcW w:type="dxa" w:w="652"/>
          </w:tcPr>
          <w:p>
            <w:pPr>
              <w:spacing w:after="20"/>
              <w:jc w:val="center"/>
            </w:pPr>
            <w:r/>
            <w:r>
              <w:rPr>
                <w:rFonts w:ascii="Times New Roman" w:hAnsi="Times New Roman"/>
                <w:b w:val="0"/>
                <w:sz w:val="18"/>
              </w:rPr>
              <w:t>3</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2</w:t>
            </w:r>
          </w:p>
        </w:tc>
        <w:tc>
          <w:tcPr>
            <w:tcW w:type="dxa" w:w="963"/>
          </w:tcPr>
          <w:p>
            <w:pPr>
              <w:spacing w:after="20"/>
              <w:jc w:val="center"/>
            </w:pPr>
            <w:r/>
            <w:r>
              <w:rPr>
                <w:rFonts w:ascii="Times New Roman" w:hAnsi="Times New Roman"/>
                <w:b w:val="0"/>
                <w:sz w:val="18"/>
              </w:rPr>
              <w:t>7</w:t>
            </w:r>
          </w:p>
        </w:tc>
        <w:tc>
          <w:tcPr>
            <w:tcW w:type="dxa" w:w="850"/>
          </w:tcPr>
          <w:p>
            <w:pPr>
              <w:spacing w:after="20"/>
              <w:jc w:val="center"/>
            </w:pPr>
            <w:r/>
            <w:r>
              <w:rPr>
                <w:rFonts w:ascii="Times New Roman" w:hAnsi="Times New Roman"/>
                <w:b w:val="0"/>
                <w:sz w:val="18"/>
              </w:rPr>
              <w:t>17,5%</w:t>
            </w:r>
          </w:p>
        </w:tc>
      </w:tr>
      <w:tr>
        <w:tc>
          <w:tcPr>
            <w:tcW w:type="dxa" w:w="510"/>
          </w:tcPr>
          <w:p>
            <w:pPr>
              <w:spacing w:after="20"/>
              <w:jc w:val="center"/>
            </w:pPr>
            <w:r/>
            <w:r>
              <w:rPr>
                <w:rFonts w:ascii="Times New Roman" w:hAnsi="Times New Roman"/>
                <w:b w:val="0"/>
                <w:sz w:val="18"/>
              </w:rPr>
              <w:t>2</w:t>
            </w:r>
          </w:p>
        </w:tc>
        <w:tc>
          <w:tcPr>
            <w:tcW w:type="dxa" w:w="1600"/>
          </w:tcPr>
          <w:p>
            <w:pPr>
              <w:spacing w:after="20"/>
              <w:jc w:val="left"/>
            </w:pPr>
            <w:r/>
            <w:r>
              <w:rPr>
                <w:rFonts w:ascii="Times New Roman" w:hAnsi="Times New Roman"/>
                <w:b/>
                <w:sz w:val="18"/>
              </w:rPr>
              <w:t>Ngữ âm</w:t>
            </w:r>
          </w:p>
        </w:tc>
        <w:tc>
          <w:tcPr>
            <w:tcW w:type="dxa" w:w="9259"/>
          </w:tcPr>
          <w:p>
            <w:pPr>
              <w:spacing w:after="20"/>
              <w:jc w:val="left"/>
            </w:pPr>
            <w:r/>
            <w:r>
              <w:rPr>
                <w:rFonts w:ascii="Times New Roman" w:hAnsi="Times New Roman"/>
                <w:b w:val="0"/>
                <w:sz w:val="18"/>
              </w:rPr>
              <w:t>Pronunciation: stress in three-syllable adjectives and verbs; stress in words with more than three syllables (Units 6–7)</w:t>
            </w:r>
          </w:p>
        </w:tc>
        <w:tc>
          <w:tcPr>
            <w:tcW w:type="dxa" w:w="652"/>
          </w:tcPr>
          <w:p>
            <w:pPr>
              <w:spacing w:after="20"/>
              <w:jc w:val="center"/>
            </w:pPr>
            <w:r/>
            <w:r>
              <w:rPr>
                <w:rFonts w:ascii="Times New Roman" w:hAnsi="Times New Roman"/>
                <w:b w:val="0"/>
                <w:sz w:val="18"/>
              </w:rPr>
              <w:t>3</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5</w:t>
            </w:r>
          </w:p>
        </w:tc>
        <w:tc>
          <w:tcPr>
            <w:tcW w:type="dxa" w:w="850"/>
          </w:tcPr>
          <w:p>
            <w:pPr>
              <w:spacing w:after="20"/>
              <w:jc w:val="center"/>
            </w:pPr>
            <w:r/>
            <w:r>
              <w:rPr>
                <w:rFonts w:ascii="Times New Roman" w:hAnsi="Times New Roman"/>
                <w:b w:val="0"/>
                <w:sz w:val="18"/>
              </w:rPr>
              <w:t>12,5%</w:t>
            </w:r>
          </w:p>
        </w:tc>
      </w:tr>
      <w:tr>
        <w:tc>
          <w:tcPr>
            <w:tcW w:type="dxa" w:w="510"/>
          </w:tcPr>
          <w:p>
            <w:pPr>
              <w:spacing w:after="20"/>
              <w:jc w:val="center"/>
            </w:pPr>
            <w:r/>
            <w:r>
              <w:rPr>
                <w:rFonts w:ascii="Times New Roman" w:hAnsi="Times New Roman"/>
                <w:b w:val="0"/>
                <w:sz w:val="18"/>
              </w:rPr>
              <w:t>3</w:t>
            </w:r>
          </w:p>
        </w:tc>
        <w:tc>
          <w:tcPr>
            <w:tcW w:type="dxa" w:w="1600"/>
          </w:tcPr>
          <w:p>
            <w:pPr>
              <w:spacing w:after="20"/>
              <w:jc w:val="left"/>
            </w:pPr>
            <w:r/>
            <w:r>
              <w:rPr>
                <w:rFonts w:ascii="Times New Roman" w:hAnsi="Times New Roman"/>
                <w:b/>
                <w:sz w:val="18"/>
              </w:rPr>
              <w:t>Giao tiếp</w:t>
            </w:r>
          </w:p>
        </w:tc>
        <w:tc>
          <w:tcPr>
            <w:tcW w:type="dxa" w:w="9259"/>
          </w:tcPr>
          <w:p>
            <w:pPr>
              <w:spacing w:after="20"/>
              <w:jc w:val="left"/>
            </w:pPr>
            <w:r/>
            <w:r>
              <w:rPr>
                <w:rFonts w:ascii="Times New Roman" w:hAnsi="Times New Roman"/>
                <w:b w:val="0"/>
                <w:sz w:val="18"/>
              </w:rPr>
              <w:t>Communication: Everyday English (Units 6–7)</w:t>
            </w:r>
          </w:p>
        </w:tc>
        <w:tc>
          <w:tcPr>
            <w:tcW w:type="dxa" w:w="652"/>
          </w:tcPr>
          <w:p>
            <w:pPr>
              <w:spacing w:after="20"/>
              <w:jc w:val="center"/>
            </w:pPr>
            <w:r/>
            <w:r>
              <w:rPr>
                <w:rFonts w:ascii="Times New Roman" w:hAnsi="Times New Roman"/>
                <w:b w:val="0"/>
                <w:sz w:val="18"/>
              </w:rPr>
              <w:t>3</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5</w:t>
            </w:r>
          </w:p>
        </w:tc>
        <w:tc>
          <w:tcPr>
            <w:tcW w:type="dxa" w:w="850"/>
          </w:tcPr>
          <w:p>
            <w:pPr>
              <w:spacing w:after="20"/>
              <w:jc w:val="center"/>
            </w:pPr>
            <w:r/>
            <w:r>
              <w:rPr>
                <w:rFonts w:ascii="Times New Roman" w:hAnsi="Times New Roman"/>
                <w:b w:val="0"/>
                <w:sz w:val="18"/>
              </w:rPr>
              <w:t>12,5%</w:t>
            </w:r>
          </w:p>
        </w:tc>
      </w:tr>
      <w:tr>
        <w:tc>
          <w:tcPr>
            <w:tcW w:type="dxa" w:w="510"/>
          </w:tcPr>
          <w:p>
            <w:pPr>
              <w:spacing w:after="20"/>
              <w:jc w:val="center"/>
            </w:pPr>
            <w:r/>
            <w:r>
              <w:rPr>
                <w:rFonts w:ascii="Times New Roman" w:hAnsi="Times New Roman"/>
                <w:b w:val="0"/>
                <w:sz w:val="18"/>
              </w:rPr>
              <w:t>4</w:t>
            </w:r>
          </w:p>
        </w:tc>
        <w:tc>
          <w:tcPr>
            <w:tcW w:type="dxa" w:w="1600"/>
          </w:tcPr>
          <w:p>
            <w:pPr>
              <w:spacing w:after="20"/>
              <w:jc w:val="left"/>
            </w:pPr>
            <w:r/>
            <w:r>
              <w:rPr>
                <w:rFonts w:ascii="Times New Roman" w:hAnsi="Times New Roman"/>
                <w:b/>
                <w:sz w:val="18"/>
              </w:rPr>
              <w:t>Đọc hiểu</w:t>
            </w:r>
          </w:p>
        </w:tc>
        <w:tc>
          <w:tcPr>
            <w:tcW w:type="dxa" w:w="9259"/>
          </w:tcPr>
          <w:p>
            <w:pPr>
              <w:spacing w:after="20"/>
              <w:jc w:val="left"/>
            </w:pPr>
            <w:r/>
            <w:r>
              <w:rPr>
                <w:rFonts w:ascii="Times New Roman" w:hAnsi="Times New Roman"/>
                <w:b w:val="0"/>
                <w:sz w:val="18"/>
              </w:rPr>
              <w:t>Reading: texts on the topics of Units 6–7</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5</w:t>
            </w:r>
          </w:p>
        </w:tc>
        <w:tc>
          <w:tcPr>
            <w:tcW w:type="dxa" w:w="963"/>
          </w:tcPr>
          <w:p>
            <w:pPr>
              <w:spacing w:after="20"/>
              <w:jc w:val="center"/>
            </w:pPr>
            <w:r/>
            <w:r>
              <w:rPr>
                <w:rFonts w:ascii="Times New Roman" w:hAnsi="Times New Roman"/>
                <w:b w:val="0"/>
                <w:sz w:val="18"/>
              </w:rPr>
              <w:t>9</w:t>
            </w:r>
          </w:p>
        </w:tc>
        <w:tc>
          <w:tcPr>
            <w:tcW w:type="dxa" w:w="850"/>
          </w:tcPr>
          <w:p>
            <w:pPr>
              <w:spacing w:after="20"/>
              <w:jc w:val="center"/>
            </w:pPr>
            <w:r/>
            <w:r>
              <w:rPr>
                <w:rFonts w:ascii="Times New Roman" w:hAnsi="Times New Roman"/>
                <w:b w:val="0"/>
                <w:sz w:val="18"/>
              </w:rPr>
              <w:t>22,5%</w:t>
            </w:r>
          </w:p>
        </w:tc>
      </w:tr>
      <w:tr>
        <w:tc>
          <w:tcPr>
            <w:tcW w:type="dxa" w:w="510"/>
          </w:tcPr>
          <w:p>
            <w:pPr>
              <w:spacing w:after="20"/>
              <w:jc w:val="center"/>
            </w:pPr>
            <w:r/>
            <w:r>
              <w:rPr>
                <w:rFonts w:ascii="Times New Roman" w:hAnsi="Times New Roman"/>
                <w:b w:val="0"/>
                <w:sz w:val="18"/>
              </w:rPr>
              <w:t>5</w:t>
            </w:r>
          </w:p>
        </w:tc>
        <w:tc>
          <w:tcPr>
            <w:tcW w:type="dxa" w:w="1600"/>
          </w:tcPr>
          <w:p>
            <w:pPr>
              <w:spacing w:after="20"/>
              <w:jc w:val="left"/>
            </w:pPr>
            <w:r/>
            <w:r>
              <w:rPr>
                <w:rFonts w:ascii="Times New Roman" w:hAnsi="Times New Roman"/>
                <w:b/>
                <w:sz w:val="18"/>
              </w:rPr>
              <w:t>Viết</w:t>
            </w:r>
          </w:p>
        </w:tc>
        <w:tc>
          <w:tcPr>
            <w:tcW w:type="dxa" w:w="9259"/>
          </w:tcPr>
          <w:p>
            <w:pPr>
              <w:spacing w:after="20"/>
              <w:jc w:val="left"/>
            </w:pPr>
            <w:r/>
            <w:r>
              <w:rPr>
                <w:rFonts w:ascii="Times New Roman" w:hAnsi="Times New Roman"/>
                <w:b w:val="0"/>
                <w:sz w:val="18"/>
              </w:rPr>
              <w:t>Writing: sentence transformation, word and sentence order (Units 6–7)</w:t>
            </w:r>
          </w:p>
        </w:tc>
        <w:tc>
          <w:tcPr>
            <w:tcW w:type="dxa" w:w="652"/>
          </w:tcPr>
          <w:p>
            <w:pPr>
              <w:spacing w:after="20"/>
              <w:jc w:val="center"/>
            </w:pPr>
            <w:r/>
            <w:r>
              <w:rPr>
                <w:rFonts w:ascii="Times New Roman" w:hAnsi="Times New Roman"/>
                <w:b w:val="0"/>
                <w:sz w:val="18"/>
              </w:rPr>
              <w:t>3</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2</w:t>
            </w:r>
          </w:p>
        </w:tc>
        <w:tc>
          <w:tcPr>
            <w:tcW w:type="dxa" w:w="963"/>
          </w:tcPr>
          <w:p>
            <w:pPr>
              <w:spacing w:after="20"/>
              <w:jc w:val="center"/>
            </w:pPr>
            <w:r/>
            <w:r>
              <w:rPr>
                <w:rFonts w:ascii="Times New Roman" w:hAnsi="Times New Roman"/>
                <w:b w:val="0"/>
                <w:sz w:val="18"/>
              </w:rPr>
              <w:t>7</w:t>
            </w:r>
          </w:p>
        </w:tc>
        <w:tc>
          <w:tcPr>
            <w:tcW w:type="dxa" w:w="850"/>
          </w:tcPr>
          <w:p>
            <w:pPr>
              <w:spacing w:after="20"/>
              <w:jc w:val="center"/>
            </w:pPr>
            <w:r/>
            <w:r>
              <w:rPr>
                <w:rFonts w:ascii="Times New Roman" w:hAnsi="Times New Roman"/>
                <w:b w:val="0"/>
                <w:sz w:val="18"/>
              </w:rPr>
              <w:t>17,5%</w:t>
            </w:r>
          </w:p>
        </w:tc>
      </w:tr>
      <w:tr>
        <w:tc>
          <w:tcPr>
            <w:tcW w:type="dxa" w:w="11369"/>
            <w:gridSpan w:val="3"/>
            <w:shd w:val="clear" w:color="auto" w:fill="F2F2F2"/>
          </w:tcPr>
          <w:p>
            <w:pPr>
              <w:spacing w:after="20"/>
              <w:jc w:val="left"/>
            </w:pPr>
            <w:r/>
            <w:r>
              <w:rPr>
                <w:rFonts w:ascii="Times New Roman" w:hAnsi="Times New Roman"/>
                <w:b/>
                <w:sz w:val="18"/>
              </w:rPr>
              <w:t>Tổng số câu/ý</w:t>
            </w:r>
          </w:p>
        </w:tc>
        <w:tc>
          <w:tcPr>
            <w:tcW w:type="dxa" w:w="652"/>
            <w:shd w:val="clear" w:color="auto" w:fill="F2F2F2"/>
          </w:tcPr>
          <w:p>
            <w:pPr>
              <w:spacing w:after="20"/>
              <w:jc w:val="center"/>
            </w:pPr>
            <w:r/>
            <w:r>
              <w:rPr>
                <w:rFonts w:ascii="Times New Roman" w:hAnsi="Times New Roman"/>
                <w:b/>
                <w:sz w:val="18"/>
              </w:rPr>
              <w:t>16</w:t>
            </w:r>
          </w:p>
        </w:tc>
        <w:tc>
          <w:tcPr>
            <w:tcW w:type="dxa" w:w="652"/>
            <w:shd w:val="clear" w:color="auto" w:fill="F2F2F2"/>
          </w:tcPr>
          <w:p>
            <w:pPr>
              <w:spacing w:after="20"/>
              <w:jc w:val="center"/>
            </w:pPr>
            <w:r/>
            <w:r>
              <w:rPr>
                <w:rFonts w:ascii="Times New Roman" w:hAnsi="Times New Roman"/>
                <w:b/>
                <w:sz w:val="18"/>
              </w:rPr>
              <w:t>12</w:t>
            </w:r>
          </w:p>
        </w:tc>
        <w:tc>
          <w:tcPr>
            <w:tcW w:type="dxa" w:w="652"/>
            <w:shd w:val="clear" w:color="auto" w:fill="F2F2F2"/>
          </w:tcPr>
          <w:p>
            <w:pPr>
              <w:spacing w:after="20"/>
              <w:jc w:val="center"/>
            </w:pPr>
            <w:r/>
            <w:r>
              <w:rPr>
                <w:rFonts w:ascii="Times New Roman" w:hAnsi="Times New Roman"/>
                <w:b/>
                <w:sz w:val="18"/>
              </w:rPr>
              <w:t>12</w:t>
            </w:r>
          </w:p>
        </w:tc>
        <w:tc>
          <w:tcPr>
            <w:tcW w:type="dxa" w:w="963"/>
            <w:shd w:val="clear" w:color="auto" w:fill="F2F2F2"/>
          </w:tcPr>
          <w:p>
            <w:pPr>
              <w:spacing w:after="20"/>
              <w:jc w:val="center"/>
            </w:pPr>
            <w:r/>
            <w:r>
              <w:rPr>
                <w:rFonts w:ascii="Times New Roman" w:hAnsi="Times New Roman"/>
                <w:b/>
                <w:sz w:val="18"/>
              </w:rPr>
              <w:t>40</w:t>
            </w:r>
          </w:p>
        </w:tc>
        <w:tc>
          <w:tcPr>
            <w:tcW w:type="dxa" w:w="850"/>
            <w:shd w:val="clear" w:color="auto" w:fill="F2F2F2"/>
          </w:tcPr>
          <w:p>
            <w:pPr>
              <w:spacing w:after="20"/>
              <w:jc w:val="center"/>
            </w:pPr>
            <w:r/>
            <w:r>
              <w:rPr>
                <w:rFonts w:ascii="Times New Roman" w:hAnsi="Times New Roman"/>
                <w:b/>
                <w:sz w:val="18"/>
              </w:rPr>
              <w:t>100%</w:t>
            </w:r>
          </w:p>
        </w:tc>
      </w:tr>
      <w:tr>
        <w:tc>
          <w:tcPr>
            <w:tcW w:type="dxa" w:w="11369"/>
            <w:gridSpan w:val="3"/>
            <w:shd w:val="clear" w:color="auto" w:fill="F2F2F2"/>
          </w:tcPr>
          <w:p>
            <w:pPr>
              <w:spacing w:after="20"/>
              <w:jc w:val="left"/>
            </w:pPr>
            <w:r/>
            <w:r>
              <w:rPr>
                <w:rFonts w:ascii="Times New Roman" w:hAnsi="Times New Roman"/>
                <w:b/>
                <w:sz w:val="18"/>
              </w:rPr>
              <w:t>Tổng điểm</w:t>
            </w:r>
          </w:p>
        </w:tc>
        <w:tc>
          <w:tcPr>
            <w:tcW w:type="dxa" w:w="1956"/>
            <w:gridSpan w:val="3"/>
            <w:shd w:val="clear" w:color="auto" w:fill="F2F2F2"/>
          </w:tcPr>
          <w:p>
            <w:pPr>
              <w:spacing w:after="20"/>
              <w:jc w:val="center"/>
            </w:pPr>
            <w:r/>
            <w:r>
              <w:rPr>
                <w:rFonts w:ascii="Times New Roman" w:hAnsi="Times New Roman"/>
                <w:b/>
                <w:sz w:val="18"/>
              </w:rPr>
              <w:t>10 điểm</w:t>
            </w:r>
          </w:p>
        </w:tc>
        <w:tc>
          <w:tcPr>
            <w:tcW w:type="dxa" w:w="1813"/>
            <w:gridSpan w:val="2"/>
            <w:shd w:val="clear" w:color="auto" w:fill="F2F2F2"/>
          </w:tcPr>
          <w:p>
            <w:pPr>
              <w:spacing w:after="20"/>
              <w:jc w:val="center"/>
            </w:pPr>
            <w:r/>
            <w:r>
              <w:rPr>
                <w:rFonts w:ascii="Times New Roman" w:hAnsi="Times New Roman"/>
                <w:b/>
                <w:sz w:val="18"/>
              </w:rPr>
              <w:t>10 điểm</w:t>
            </w:r>
          </w:p>
        </w:tc>
      </w:tr>
      <w:tr>
        <w:tc>
          <w:tcPr>
            <w:tcW w:type="dxa" w:w="11369"/>
            <w:gridSpan w:val="3"/>
            <w:shd w:val="clear" w:color="auto" w:fill="F2F2F2"/>
          </w:tcPr>
          <w:p>
            <w:pPr>
              <w:spacing w:after="20"/>
              <w:jc w:val="left"/>
            </w:pPr>
            <w:r/>
            <w:r>
              <w:rPr>
                <w:rFonts w:ascii="Times New Roman" w:hAnsi="Times New Roman"/>
                <w:b/>
                <w:sz w:val="18"/>
              </w:rPr>
              <w:t>Tỉ lệ theo mức độ (NB – TH – VD)</w:t>
            </w:r>
          </w:p>
        </w:tc>
        <w:tc>
          <w:tcPr>
            <w:tcW w:type="dxa" w:w="3769"/>
            <w:gridSpan w:val="5"/>
            <w:shd w:val="clear" w:color="auto" w:fill="F2F2F2"/>
          </w:tcPr>
          <w:p>
            <w:pPr>
              <w:spacing w:after="20"/>
              <w:jc w:val="center"/>
            </w:pPr>
            <w:r/>
            <w:r>
              <w:rPr>
                <w:rFonts w:ascii="Times New Roman" w:hAnsi="Times New Roman"/>
                <w:b/>
                <w:sz w:val="18"/>
              </w:rPr>
              <w:t>Nhận biết 4 điểm (40%) – Thông hiểu 3 điểm (30%) – Vận dụng 3 điểm (30%)</w:t>
            </w:r>
          </w:p>
        </w:tc>
      </w:tr>
    </w:tbl>
    <w:p>
      <w:pPr>
        <w:spacing w:after="40"/>
      </w:pPr>
      <w:r>
        <w:rPr>
          <w:b w:val="0"/>
          <w:i/>
          <w:sz w:val="20"/>
        </w:rPr>
        <w:t>Ghi chú: Phần I: mỗi câu 0,25 điểm.</w:t>
      </w:r>
    </w:p>
    <w:p>
      <w:pPr>
        <w:spacing w:after="40"/>
      </w:pPr>
      <w:r>
        <w:rPr>
          <w:b w:val="0"/>
          <w:i w:val="0"/>
          <w:sz w:val="22"/>
        </w:rPr>
      </w:r>
    </w:p>
    <w:p>
      <w:pPr>
        <w:spacing w:after="40"/>
      </w:pPr>
      <w:r>
        <w:rPr>
          <w:b/>
          <w:i w:val="0"/>
          <w:sz w:val="22"/>
        </w:rPr>
        <w:t>II. BẢNG ĐẶC TẢ</w:t>
      </w:r>
    </w:p>
    <w:tbl>
      <w:tblPr>
        <w:tblStyle w:val="TableGrid"/>
        <w:tblW w:type="auto" w:w="0"/>
        <w:jc w:val="center"/>
        <w:tblLook w:firstColumn="1" w:firstRow="1" w:lastColumn="0" w:lastRow="0" w:noHBand="0" w:noVBand="1" w:val="04A0"/>
      </w:tblPr>
      <w:tblGrid>
        <w:gridCol w:w="510"/>
        <w:gridCol w:w="1360"/>
        <w:gridCol w:w="1927"/>
        <w:gridCol w:w="9640"/>
        <w:gridCol w:w="567"/>
        <w:gridCol w:w="567"/>
        <w:gridCol w:w="567"/>
      </w:tblGrid>
      <w:tr>
        <w:tc>
          <w:tcPr>
            <w:tcW w:type="dxa" w:w="510"/>
            <w:vMerge w:val="restart"/>
            <w:shd w:val="clear" w:color="auto" w:fill="D9E2F3"/>
          </w:tcPr>
          <w:p>
            <w:pPr>
              <w:spacing w:after="20"/>
              <w:jc w:val="center"/>
            </w:pPr>
            <w:r/>
            <w:r>
              <w:rPr>
                <w:rFonts w:ascii="Times New Roman" w:hAnsi="Times New Roman"/>
                <w:b/>
                <w:sz w:val="18"/>
              </w:rPr>
              <w:t>TT</w:t>
            </w:r>
          </w:p>
        </w:tc>
        <w:tc>
          <w:tcPr>
            <w:tcW w:type="dxa" w:w="1360"/>
            <w:vMerge w:val="restart"/>
            <w:shd w:val="clear" w:color="auto" w:fill="D9E2F3"/>
          </w:tcPr>
          <w:p>
            <w:pPr>
              <w:spacing w:after="20"/>
              <w:jc w:val="center"/>
            </w:pPr>
            <w:r/>
            <w:r>
              <w:rPr>
                <w:rFonts w:ascii="Times New Roman" w:hAnsi="Times New Roman"/>
                <w:b/>
                <w:sz w:val="18"/>
              </w:rPr>
              <w:t>Nội dung kiến thức</w:t>
            </w:r>
          </w:p>
        </w:tc>
        <w:tc>
          <w:tcPr>
            <w:tcW w:type="dxa" w:w="1927"/>
            <w:vMerge w:val="restart"/>
            <w:shd w:val="clear" w:color="auto" w:fill="D9E2F3"/>
          </w:tcPr>
          <w:p>
            <w:pPr>
              <w:spacing w:after="20"/>
              <w:jc w:val="center"/>
            </w:pPr>
            <w:r/>
            <w:r>
              <w:rPr>
                <w:rFonts w:ascii="Times New Roman" w:hAnsi="Times New Roman"/>
                <w:b/>
                <w:sz w:val="18"/>
              </w:rPr>
              <w:t>Đơn vị kiến thức</w:t>
            </w:r>
          </w:p>
        </w:tc>
        <w:tc>
          <w:tcPr>
            <w:tcW w:type="dxa" w:w="9640"/>
            <w:vMerge w:val="restart"/>
            <w:shd w:val="clear" w:color="auto" w:fill="D9E2F3"/>
          </w:tcPr>
          <w:p>
            <w:pPr>
              <w:spacing w:after="20"/>
              <w:jc w:val="center"/>
            </w:pPr>
            <w:r/>
            <w:r>
              <w:rPr>
                <w:rFonts w:ascii="Times New Roman" w:hAnsi="Times New Roman"/>
                <w:b/>
                <w:sz w:val="18"/>
              </w:rPr>
              <w:t>Mức độ kiến thức, kĩ năng cần kiểm tra, đánh giá</w:t>
            </w:r>
          </w:p>
        </w:tc>
        <w:tc>
          <w:tcPr>
            <w:tcW w:type="dxa" w:w="1701"/>
            <w:gridSpan w:val="3"/>
            <w:shd w:val="clear" w:color="auto" w:fill="D9E2F3"/>
          </w:tcPr>
          <w:p>
            <w:pPr>
              <w:spacing w:after="20"/>
              <w:jc w:val="center"/>
            </w:pPr>
            <w:r/>
            <w:r>
              <w:rPr>
                <w:rFonts w:ascii="Times New Roman" w:hAnsi="Times New Roman"/>
                <w:b/>
                <w:sz w:val="18"/>
              </w:rPr>
              <w:t>Số câu hỏi theo mức độ nhận thức</w:t>
            </w:r>
          </w:p>
        </w:tc>
      </w:tr>
      <w:tr>
        <w:tc>
          <w:tcPr>
            <w:tcW w:type="dxa" w:w="510"/>
            <w:vMerge/>
          </w:tcPr>
          <w:p/>
        </w:tc>
        <w:tc>
          <w:tcPr>
            <w:tcW w:type="dxa" w:w="1360"/>
            <w:vMerge/>
          </w:tcPr>
          <w:p/>
        </w:tc>
        <w:tc>
          <w:tcPr>
            <w:tcW w:type="dxa" w:w="1927"/>
            <w:vMerge/>
          </w:tcPr>
          <w:p/>
        </w:tc>
        <w:tc>
          <w:tcPr>
            <w:tcW w:type="dxa" w:w="9640"/>
            <w:vMerge/>
          </w:tcPr>
          <w:p/>
        </w:tc>
        <w:tc>
          <w:tcPr>
            <w:tcW w:type="dxa" w:w="1701"/>
            <w:gridSpan w:val="3"/>
            <w:shd w:val="clear" w:color="auto" w:fill="D9E2F3"/>
          </w:tcPr>
          <w:p>
            <w:pPr>
              <w:spacing w:after="20"/>
              <w:jc w:val="center"/>
            </w:pPr>
            <w:r/>
            <w:r>
              <w:rPr>
                <w:rFonts w:ascii="Times New Roman" w:hAnsi="Times New Roman"/>
                <w:b/>
                <w:sz w:val="18"/>
              </w:rPr>
              <w:t>TN nhiều lựa chọn</w:t>
            </w:r>
          </w:p>
        </w:tc>
      </w:tr>
      <w:tr>
        <w:tc>
          <w:tcPr>
            <w:tcW w:type="dxa" w:w="510"/>
            <w:vMerge/>
          </w:tcPr>
          <w:p/>
        </w:tc>
        <w:tc>
          <w:tcPr>
            <w:tcW w:type="dxa" w:w="1360"/>
            <w:vMerge/>
          </w:tcPr>
          <w:p/>
        </w:tc>
        <w:tc>
          <w:tcPr>
            <w:tcW w:type="dxa" w:w="1927"/>
            <w:vMerge/>
          </w:tcPr>
          <w:p/>
        </w:tc>
        <w:tc>
          <w:tcPr>
            <w:tcW w:type="dxa" w:w="9640"/>
            <w:vMerge/>
          </w:tcPr>
          <w:p/>
        </w:tc>
        <w:tc>
          <w:tcPr>
            <w:tcW w:type="dxa" w:w="567"/>
            <w:shd w:val="clear" w:color="auto" w:fill="D9E2F3"/>
          </w:tcPr>
          <w:p>
            <w:pPr>
              <w:spacing w:after="20"/>
              <w:jc w:val="center"/>
            </w:pPr>
            <w:r/>
            <w:r>
              <w:rPr>
                <w:rFonts w:ascii="Times New Roman" w:hAnsi="Times New Roman"/>
                <w:b/>
                <w:sz w:val="18"/>
              </w:rPr>
              <w:t>NB</w:t>
            </w:r>
          </w:p>
        </w:tc>
        <w:tc>
          <w:tcPr>
            <w:tcW w:type="dxa" w:w="567"/>
            <w:shd w:val="clear" w:color="auto" w:fill="D9E2F3"/>
          </w:tcPr>
          <w:p>
            <w:pPr>
              <w:spacing w:after="20"/>
              <w:jc w:val="center"/>
            </w:pPr>
            <w:r/>
            <w:r>
              <w:rPr>
                <w:rFonts w:ascii="Times New Roman" w:hAnsi="Times New Roman"/>
                <w:b/>
                <w:sz w:val="18"/>
              </w:rPr>
              <w:t>TH</w:t>
            </w:r>
          </w:p>
        </w:tc>
        <w:tc>
          <w:tcPr>
            <w:tcW w:type="dxa" w:w="567"/>
            <w:shd w:val="clear" w:color="auto" w:fill="D9E2F3"/>
          </w:tcPr>
          <w:p>
            <w:pPr>
              <w:spacing w:after="20"/>
              <w:jc w:val="center"/>
            </w:pPr>
            <w:r/>
            <w:r>
              <w:rPr>
                <w:rFonts w:ascii="Times New Roman" w:hAnsi="Times New Roman"/>
                <w:b/>
                <w:sz w:val="18"/>
              </w:rPr>
              <w:t>VD</w:t>
            </w:r>
          </w:p>
        </w:tc>
      </w:tr>
      <w:tr>
        <w:tc>
          <w:tcPr>
            <w:tcW w:type="dxa" w:w="510"/>
            <w:vMerge w:val="restart"/>
          </w:tcPr>
          <w:p>
            <w:pPr>
              <w:spacing w:after="20"/>
              <w:jc w:val="center"/>
            </w:pPr>
            <w:r/>
            <w:r>
              <w:rPr>
                <w:rFonts w:ascii="Times New Roman" w:hAnsi="Times New Roman"/>
                <w:b w:val="0"/>
                <w:sz w:val="18"/>
              </w:rPr>
              <w:t>1</w:t>
            </w:r>
          </w:p>
        </w:tc>
        <w:tc>
          <w:tcPr>
            <w:tcW w:type="dxa" w:w="1360"/>
            <w:vMerge w:val="restart"/>
          </w:tcPr>
          <w:p>
            <w:pPr>
              <w:spacing w:after="20"/>
              <w:jc w:val="left"/>
            </w:pPr>
            <w:r/>
            <w:r>
              <w:rPr>
                <w:rFonts w:ascii="Times New Roman" w:hAnsi="Times New Roman"/>
                <w:b/>
                <w:sz w:val="18"/>
              </w:rPr>
              <w:t>Từ vựng – Ngữ pháp theo chủ điểm</w:t>
            </w:r>
          </w:p>
        </w:tc>
        <w:tc>
          <w:tcPr>
            <w:tcW w:type="dxa" w:w="1927"/>
          </w:tcPr>
          <w:p>
            <w:pPr>
              <w:spacing w:after="20"/>
              <w:jc w:val="left"/>
            </w:pPr>
            <w:r/>
            <w:r>
              <w:rPr>
                <w:rFonts w:ascii="Times New Roman" w:hAnsi="Times New Roman"/>
                <w:b w:val="0"/>
                <w:sz w:val="18"/>
              </w:rPr>
              <w:t>Unit 6: Gender equality</w:t>
            </w:r>
          </w:p>
        </w:tc>
        <w:tc>
          <w:tcPr>
            <w:tcW w:type="dxa" w:w="9640"/>
          </w:tcPr>
          <w:p>
            <w:r/>
            <w:r>
              <w:rPr>
                <w:b/>
                <w:sz w:val="18"/>
              </w:rPr>
              <w:t>Nhận biết:</w:t>
            </w:r>
          </w:p>
          <w:p>
            <w:pPr>
              <w:spacing w:after="0"/>
            </w:pPr>
            <w:r>
              <w:rPr>
                <w:sz w:val="18"/>
              </w:rPr>
              <w:t>- Nhận biết được từ vựng về bình đẳng giới (Unit 6).</w:t>
            </w:r>
          </w:p>
          <w:p>
            <w:pPr>
              <w:spacing w:after="0"/>
            </w:pPr>
            <w:r>
              <w:rPr>
                <w:sz w:val="18"/>
              </w:rPr>
              <w:t>- Nhận biết được câu bị động với động từ khuyết thiếu (Unit 6).</w:t>
            </w:r>
          </w:p>
          <w:p>
            <w:r>
              <w:rPr>
                <w:b/>
                <w:sz w:val="18"/>
              </w:rPr>
              <w:t>Thông hiểu:</w:t>
            </w:r>
          </w:p>
          <w:p>
            <w:pPr>
              <w:spacing w:after="0"/>
            </w:pPr>
            <w:r>
              <w:rPr>
                <w:sz w:val="18"/>
              </w:rPr>
              <w:t>- Phân biệt được nghĩa và cách dùng từ vựng về chủ điểm "Gender equality" trong ngữ cảnh (Unit 6).</w:t>
            </w:r>
          </w:p>
          <w:p>
            <w:pPr>
              <w:spacing w:after="0"/>
            </w:pPr>
            <w:r>
              <w:rPr>
                <w:sz w:val="18"/>
              </w:rPr>
              <w:t>- Hiểu và sử dụng đúng câu bị động với động từ khuyết thiếu trong ngữ cảnh (Unit 6).</w:t>
            </w:r>
          </w:p>
          <w:p>
            <w:r>
              <w:rPr>
                <w:b/>
                <w:sz w:val="18"/>
              </w:rPr>
              <w:t>Vận dụng:</w:t>
            </w:r>
          </w:p>
          <w:p>
            <w:pPr>
              <w:spacing w:after="0"/>
            </w:pPr>
            <w:r>
              <w:rPr>
                <w:sz w:val="18"/>
              </w:rPr>
              <w:t>- Vận dụng câu bị động với động từ khuyết thiếu cùng từ vựng chủ điểm "Gender equality" để hoàn thành câu, viết lại câu (Unit 6).</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3</w:t>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Unit 7: Viet Nam and international organisations</w:t>
            </w:r>
          </w:p>
        </w:tc>
        <w:tc>
          <w:tcPr>
            <w:tcW w:type="dxa" w:w="9640"/>
          </w:tcPr>
          <w:p>
            <w:r/>
            <w:r>
              <w:rPr>
                <w:b/>
                <w:sz w:val="18"/>
              </w:rPr>
              <w:t>Nhận biết:</w:t>
            </w:r>
          </w:p>
          <w:p>
            <w:pPr>
              <w:spacing w:after="0"/>
            </w:pPr>
            <w:r>
              <w:rPr>
                <w:sz w:val="18"/>
              </w:rPr>
              <w:t>- Nhận biết được từ vựng về các tổ chức quốc tế (Unit 7).</w:t>
            </w:r>
          </w:p>
          <w:p>
            <w:pPr>
              <w:spacing w:after="0"/>
            </w:pPr>
            <w:r>
              <w:rPr>
                <w:sz w:val="18"/>
              </w:rPr>
              <w:t>- Nhận biết được so sánh hơn và so sánh nhất của tính từ (Unit 7).</w:t>
            </w:r>
          </w:p>
          <w:p>
            <w:r>
              <w:rPr>
                <w:b/>
                <w:sz w:val="18"/>
              </w:rPr>
              <w:t>Thông hiểu:</w:t>
            </w:r>
          </w:p>
          <w:p>
            <w:pPr>
              <w:spacing w:after="0"/>
            </w:pPr>
            <w:r>
              <w:rPr>
                <w:sz w:val="18"/>
              </w:rPr>
              <w:t>- Phân biệt được nghĩa và cách dùng từ vựng về chủ điểm "Viet Nam and international organisations" trong ngữ cảnh (Unit 7).</w:t>
            </w:r>
          </w:p>
          <w:p>
            <w:pPr>
              <w:spacing w:after="0"/>
            </w:pPr>
            <w:r>
              <w:rPr>
                <w:sz w:val="18"/>
              </w:rPr>
              <w:t>- Hiểu và sử dụng đúng so sánh hơn và so sánh nhất của tính từ trong ngữ cảnh (Unit 7).</w:t>
            </w:r>
          </w:p>
          <w:p>
            <w:r>
              <w:rPr>
                <w:b/>
                <w:sz w:val="18"/>
              </w:rPr>
              <w:t>Vận dụng:</w:t>
            </w:r>
          </w:p>
          <w:p>
            <w:pPr>
              <w:spacing w:after="0"/>
            </w:pPr>
            <w:r>
              <w:rPr>
                <w:sz w:val="18"/>
              </w:rPr>
              <w:t>- Vận dụng so sánh hơn và so sánh nhất của tính từ cùng từ vựng chủ điểm "Viet Nam and international organisations" để hoàn thành câu, viết lại câu (Unit 7).</w:t>
            </w:r>
          </w:p>
        </w:tc>
        <w:tc>
          <w:tcPr>
            <w:tcW w:type="dxa" w:w="567"/>
          </w:tcPr>
          <w:p>
            <w:pPr>
              <w:spacing w:after="20"/>
              <w:jc w:val="center"/>
            </w:pPr>
            <w:r/>
            <w:r>
              <w:rPr>
                <w:rFonts w:ascii="Times New Roman" w:hAnsi="Times New Roman"/>
                <w:b w:val="0"/>
                <w:sz w:val="18"/>
              </w:rPr>
              <w:t>3</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2</w:t>
            </w:r>
          </w:p>
        </w:tc>
      </w:tr>
      <w:tr>
        <w:tc>
          <w:tcPr>
            <w:tcW w:type="dxa" w:w="510"/>
          </w:tcPr>
          <w:p>
            <w:pPr>
              <w:spacing w:after="20"/>
              <w:jc w:val="center"/>
            </w:pPr>
            <w:r/>
            <w:r>
              <w:rPr>
                <w:rFonts w:ascii="Times New Roman" w:hAnsi="Times New Roman"/>
                <w:b w:val="0"/>
                <w:sz w:val="18"/>
              </w:rPr>
              <w:t>2</w:t>
            </w:r>
          </w:p>
        </w:tc>
        <w:tc>
          <w:tcPr>
            <w:tcW w:type="dxa" w:w="1360"/>
          </w:tcPr>
          <w:p>
            <w:pPr>
              <w:spacing w:after="20"/>
              <w:jc w:val="left"/>
            </w:pPr>
            <w:r/>
            <w:r>
              <w:rPr>
                <w:rFonts w:ascii="Times New Roman" w:hAnsi="Times New Roman"/>
                <w:b/>
                <w:sz w:val="18"/>
              </w:rPr>
              <w:t>Ngữ âm</w:t>
            </w:r>
          </w:p>
        </w:tc>
        <w:tc>
          <w:tcPr>
            <w:tcW w:type="dxa" w:w="1927"/>
          </w:tcPr>
          <w:p>
            <w:pPr>
              <w:spacing w:after="20"/>
              <w:jc w:val="left"/>
            </w:pPr>
            <w:r/>
            <w:r>
              <w:rPr>
                <w:rFonts w:ascii="Times New Roman" w:hAnsi="Times New Roman"/>
                <w:b w:val="0"/>
                <w:sz w:val="18"/>
              </w:rPr>
              <w:t>Pronunciation: stress in three-syllable adjectives and verbs; stress in words with more than three syllables (Units 6–7)</w:t>
            </w:r>
          </w:p>
        </w:tc>
        <w:tc>
          <w:tcPr>
            <w:tcW w:type="dxa" w:w="9640"/>
          </w:tcPr>
          <w:p>
            <w:r/>
            <w:r>
              <w:rPr>
                <w:b/>
                <w:sz w:val="18"/>
              </w:rPr>
              <w:t>Nhận biết:</w:t>
            </w:r>
          </w:p>
          <w:p>
            <w:pPr>
              <w:spacing w:after="0"/>
            </w:pPr>
            <w:r>
              <w:rPr>
                <w:sz w:val="18"/>
              </w:rPr>
              <w:t>- Nhận biết được trọng âm của tính từ và động từ ba âm tiết; trọng âm của từ có hơn ba âm tiết (Units 6–7).</w:t>
            </w:r>
          </w:p>
          <w:p>
            <w:pPr>
              <w:spacing w:after="0"/>
            </w:pPr>
            <w:r>
              <w:rPr>
                <w:sz w:val="18"/>
              </w:rPr>
              <w:t>- Nhận biết cách phát âm, trọng âm của từ vựng thuộc chủ điểm bình đẳng giới; Việt Nam và các tổ chức quốc tế.</w:t>
            </w:r>
          </w:p>
          <w:p>
            <w:r>
              <w:rPr>
                <w:b/>
                <w:sz w:val="18"/>
              </w:rPr>
              <w:t>Thông hiểu:</w:t>
            </w:r>
          </w:p>
          <w:p>
            <w:pPr>
              <w:spacing w:after="0"/>
            </w:pPr>
            <w:r>
              <w:rPr>
                <w:sz w:val="18"/>
              </w:rPr>
              <w:t>- Phân biệt được cách phát âm và trọng âm của từ vựng đã học trong Units 6–7.</w:t>
            </w:r>
          </w:p>
        </w:tc>
        <w:tc>
          <w:tcPr>
            <w:tcW w:type="dxa" w:w="567"/>
          </w:tcPr>
          <w:p>
            <w:pPr>
              <w:spacing w:after="20"/>
              <w:jc w:val="center"/>
            </w:pPr>
            <w:r/>
            <w:r>
              <w:rPr>
                <w:rFonts w:ascii="Times New Roman" w:hAnsi="Times New Roman"/>
                <w:b w:val="0"/>
                <w:sz w:val="18"/>
              </w:rPr>
              <w:t>3</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r>
          </w:p>
        </w:tc>
      </w:tr>
      <w:tr>
        <w:tc>
          <w:tcPr>
            <w:tcW w:type="dxa" w:w="510"/>
          </w:tcPr>
          <w:p>
            <w:pPr>
              <w:spacing w:after="20"/>
              <w:jc w:val="center"/>
            </w:pPr>
            <w:r/>
            <w:r>
              <w:rPr>
                <w:rFonts w:ascii="Times New Roman" w:hAnsi="Times New Roman"/>
                <w:b w:val="0"/>
                <w:sz w:val="18"/>
              </w:rPr>
              <w:t>3</w:t>
            </w:r>
          </w:p>
        </w:tc>
        <w:tc>
          <w:tcPr>
            <w:tcW w:type="dxa" w:w="1360"/>
          </w:tcPr>
          <w:p>
            <w:pPr>
              <w:spacing w:after="20"/>
              <w:jc w:val="left"/>
            </w:pPr>
            <w:r/>
            <w:r>
              <w:rPr>
                <w:rFonts w:ascii="Times New Roman" w:hAnsi="Times New Roman"/>
                <w:b/>
                <w:sz w:val="18"/>
              </w:rPr>
              <w:t>Giao tiếp</w:t>
            </w:r>
          </w:p>
        </w:tc>
        <w:tc>
          <w:tcPr>
            <w:tcW w:type="dxa" w:w="1927"/>
          </w:tcPr>
          <w:p>
            <w:pPr>
              <w:spacing w:after="20"/>
              <w:jc w:val="left"/>
            </w:pPr>
            <w:r/>
            <w:r>
              <w:rPr>
                <w:rFonts w:ascii="Times New Roman" w:hAnsi="Times New Roman"/>
                <w:b w:val="0"/>
                <w:sz w:val="18"/>
              </w:rPr>
              <w:t>Communication: Everyday English (Units 6–7)</w:t>
            </w:r>
          </w:p>
        </w:tc>
        <w:tc>
          <w:tcPr>
            <w:tcW w:type="dxa" w:w="9640"/>
          </w:tcPr>
          <w:p>
            <w:r/>
            <w:r>
              <w:rPr>
                <w:b/>
                <w:sz w:val="18"/>
              </w:rPr>
              <w:t>Nhận biết:</w:t>
            </w:r>
          </w:p>
          <w:p>
            <w:pPr>
              <w:spacing w:after="0"/>
            </w:pPr>
            <w:r>
              <w:rPr>
                <w:sz w:val="18"/>
              </w:rPr>
              <w:t>- Nhận biết được câu hỏi, câu đáp phù hợp trong các tình huống giao tiếp về bình đẳng giới; Việt Nam và các tổ chức quốc tế (Units 6–7).</w:t>
            </w:r>
          </w:p>
          <w:p>
            <w:r>
              <w:rPr>
                <w:b/>
                <w:sz w:val="18"/>
              </w:rPr>
              <w:t>Thông hiểu:</w:t>
            </w:r>
          </w:p>
          <w:p>
            <w:pPr>
              <w:spacing w:after="0"/>
            </w:pPr>
            <w:r>
              <w:rPr>
                <w:sz w:val="18"/>
              </w:rPr>
              <w:t>- Hiểu ý định giao tiếp, chọn được lời đáp phù hợp trong hội thoại ngắn về bình đẳng giới; Việt Nam và các tổ chức quốc tế (Units 6–7).</w:t>
            </w:r>
          </w:p>
        </w:tc>
        <w:tc>
          <w:tcPr>
            <w:tcW w:type="dxa" w:w="567"/>
          </w:tcPr>
          <w:p>
            <w:pPr>
              <w:spacing w:after="20"/>
              <w:jc w:val="center"/>
            </w:pPr>
            <w:r/>
            <w:r>
              <w:rPr>
                <w:rFonts w:ascii="Times New Roman" w:hAnsi="Times New Roman"/>
                <w:b w:val="0"/>
                <w:sz w:val="18"/>
              </w:rPr>
              <w:t>3</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r>
          </w:p>
        </w:tc>
      </w:tr>
      <w:tr>
        <w:tc>
          <w:tcPr>
            <w:tcW w:type="dxa" w:w="510"/>
          </w:tcPr>
          <w:p>
            <w:pPr>
              <w:spacing w:after="20"/>
              <w:jc w:val="center"/>
            </w:pPr>
            <w:r/>
            <w:r>
              <w:rPr>
                <w:rFonts w:ascii="Times New Roman" w:hAnsi="Times New Roman"/>
                <w:b w:val="0"/>
                <w:sz w:val="18"/>
              </w:rPr>
              <w:t>4</w:t>
            </w:r>
          </w:p>
        </w:tc>
        <w:tc>
          <w:tcPr>
            <w:tcW w:type="dxa" w:w="1360"/>
          </w:tcPr>
          <w:p>
            <w:pPr>
              <w:spacing w:after="20"/>
              <w:jc w:val="left"/>
            </w:pPr>
            <w:r/>
            <w:r>
              <w:rPr>
                <w:rFonts w:ascii="Times New Roman" w:hAnsi="Times New Roman"/>
                <w:b/>
                <w:sz w:val="18"/>
              </w:rPr>
              <w:t>Đọc hiểu</w:t>
            </w:r>
          </w:p>
        </w:tc>
        <w:tc>
          <w:tcPr>
            <w:tcW w:type="dxa" w:w="1927"/>
          </w:tcPr>
          <w:p>
            <w:pPr>
              <w:spacing w:after="20"/>
              <w:jc w:val="left"/>
            </w:pPr>
            <w:r/>
            <w:r>
              <w:rPr>
                <w:rFonts w:ascii="Times New Roman" w:hAnsi="Times New Roman"/>
                <w:b w:val="0"/>
                <w:sz w:val="18"/>
              </w:rPr>
              <w:t>Reading: texts on the topics of Units 6–7</w:t>
            </w:r>
          </w:p>
        </w:tc>
        <w:tc>
          <w:tcPr>
            <w:tcW w:type="dxa" w:w="9640"/>
          </w:tcPr>
          <w:p>
            <w:r/>
            <w:r>
              <w:rPr>
                <w:b/>
                <w:sz w:val="18"/>
              </w:rPr>
              <w:t>Nhận biết:</w:t>
            </w:r>
          </w:p>
          <w:p>
            <w:pPr>
              <w:spacing w:after="0"/>
            </w:pPr>
            <w:r>
              <w:rPr>
                <w:sz w:val="18"/>
              </w:rPr>
              <w:t>- Nhận biết thông tin chi tiết, từ vựng trong bài đọc, đoạn văn điền từ về bình đẳng giới; Việt Nam và các tổ chức quốc tế (Units 6–7).</w:t>
            </w:r>
          </w:p>
          <w:p>
            <w:r>
              <w:rPr>
                <w:b/>
                <w:sz w:val="18"/>
              </w:rPr>
              <w:t>Thông hiểu:</w:t>
            </w:r>
          </w:p>
          <w:p>
            <w:pPr>
              <w:spacing w:after="0"/>
            </w:pPr>
            <w:r>
              <w:rPr>
                <w:sz w:val="18"/>
              </w:rPr>
              <w:t>- Hiểu ý chính, suy luận nghĩa của từ và từ quy chiếu trong bài đọc về bình đẳng giới; Việt Nam và các tổ chức quốc tế.</w:t>
            </w:r>
          </w:p>
          <w:p>
            <w:r>
              <w:rPr>
                <w:b/>
                <w:sz w:val="18"/>
              </w:rPr>
              <w:t>Vận dụng:</w:t>
            </w:r>
          </w:p>
          <w:p>
            <w:pPr>
              <w:spacing w:after="0"/>
            </w:pPr>
            <w:r>
              <w:rPr>
                <w:sz w:val="18"/>
              </w:rPr>
              <w:t>- Vận dụng kĩ năng đọc để suy luận, rút ra thông tin, kết luận từ đoạn văn mới về các chủ điểm của Units 6–7.</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5</w:t>
            </w:r>
          </w:p>
        </w:tc>
      </w:tr>
      <w:tr>
        <w:tc>
          <w:tcPr>
            <w:tcW w:type="dxa" w:w="510"/>
          </w:tcPr>
          <w:p>
            <w:pPr>
              <w:spacing w:after="20"/>
              <w:jc w:val="center"/>
            </w:pPr>
            <w:r/>
            <w:r>
              <w:rPr>
                <w:rFonts w:ascii="Times New Roman" w:hAnsi="Times New Roman"/>
                <w:b w:val="0"/>
                <w:sz w:val="18"/>
              </w:rPr>
              <w:t>5</w:t>
            </w:r>
          </w:p>
        </w:tc>
        <w:tc>
          <w:tcPr>
            <w:tcW w:type="dxa" w:w="1360"/>
          </w:tcPr>
          <w:p>
            <w:pPr>
              <w:spacing w:after="20"/>
              <w:jc w:val="left"/>
            </w:pPr>
            <w:r/>
            <w:r>
              <w:rPr>
                <w:rFonts w:ascii="Times New Roman" w:hAnsi="Times New Roman"/>
                <w:b/>
                <w:sz w:val="18"/>
              </w:rPr>
              <w:t>Viết</w:t>
            </w:r>
          </w:p>
        </w:tc>
        <w:tc>
          <w:tcPr>
            <w:tcW w:type="dxa" w:w="1927"/>
          </w:tcPr>
          <w:p>
            <w:pPr>
              <w:spacing w:after="20"/>
              <w:jc w:val="left"/>
            </w:pPr>
            <w:r/>
            <w:r>
              <w:rPr>
                <w:rFonts w:ascii="Times New Roman" w:hAnsi="Times New Roman"/>
                <w:b w:val="0"/>
                <w:sz w:val="18"/>
              </w:rPr>
              <w:t>Writing: sentence transformation, word and sentence order (Units 6–7)</w:t>
            </w:r>
          </w:p>
        </w:tc>
        <w:tc>
          <w:tcPr>
            <w:tcW w:type="dxa" w:w="9640"/>
          </w:tcPr>
          <w:p>
            <w:r/>
            <w:r>
              <w:rPr>
                <w:b/>
                <w:sz w:val="18"/>
              </w:rPr>
              <w:t>Nhận biết:</w:t>
            </w:r>
          </w:p>
          <w:p>
            <w:pPr>
              <w:spacing w:after="0"/>
            </w:pPr>
            <w:r>
              <w:rPr>
                <w:sz w:val="18"/>
              </w:rPr>
              <w:t>- Nhận biết được trật tự từ, cấu trúc câu với câu bị động với động từ khuyết thiếu; so sánh hơn và so sánh nhất của tính từ (Units 6–7).</w:t>
            </w:r>
          </w:p>
          <w:p>
            <w:r>
              <w:rPr>
                <w:b/>
                <w:sz w:val="18"/>
              </w:rPr>
              <w:t>Thông hiểu:</w:t>
            </w:r>
          </w:p>
          <w:p>
            <w:pPr>
              <w:spacing w:after="0"/>
            </w:pPr>
            <w:r>
              <w:rPr>
                <w:sz w:val="18"/>
              </w:rPr>
              <w:t>- Viết lại câu giữ nguyên nghĩa, kết hợp câu dùng cấu trúc ngữ pháp của Units 6–7.</w:t>
            </w:r>
          </w:p>
          <w:p>
            <w:r>
              <w:rPr>
                <w:b/>
                <w:sz w:val="18"/>
              </w:rPr>
              <w:t>Vận dụng:</w:t>
            </w:r>
          </w:p>
          <w:p>
            <w:pPr>
              <w:spacing w:after="0"/>
            </w:pPr>
            <w:r>
              <w:rPr>
                <w:sz w:val="18"/>
              </w:rPr>
              <w:t>- Sắp xếp từ, câu thành câu và đoạn ngắn hoàn chỉnh về bình đẳng giới; Việt Nam và các tổ chức quốc tế.</w:t>
            </w:r>
          </w:p>
        </w:tc>
        <w:tc>
          <w:tcPr>
            <w:tcW w:type="dxa" w:w="567"/>
          </w:tcPr>
          <w:p>
            <w:pPr>
              <w:spacing w:after="20"/>
              <w:jc w:val="center"/>
            </w:pPr>
            <w:r/>
            <w:r>
              <w:rPr>
                <w:rFonts w:ascii="Times New Roman" w:hAnsi="Times New Roman"/>
                <w:b w:val="0"/>
                <w:sz w:val="18"/>
              </w:rPr>
              <w:t>3</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2</w:t>
            </w:r>
          </w:p>
        </w:tc>
      </w:tr>
    </w:tbl>
    <w:p>
      <w:pPr>
        <w:spacing w:after="40"/>
      </w:pPr>
      <w:r>
        <w:rPr>
          <w:b w:val="0"/>
          <w:i w:val="0"/>
          <w:sz w:val="22"/>
        </w:rPr>
      </w:r>
    </w:p>
    <w:p>
      <w:pPr>
        <w:spacing w:after="40"/>
      </w:pPr>
      <w:r>
        <w:rPr>
          <w:b/>
          <w:i w:val="0"/>
          <w:sz w:val="22"/>
        </w:rPr>
        <w:t>Duyệt của tổ trưởng chuyên môn                                                                                    Người lập ma trận</w:t>
      </w:r>
    </w:p>
    <w:sectPr w:rsidR="00FC693F" w:rsidRPr="0006063C" w:rsidSect="00034616">
      <w:footerReference w:type="default" r:id="rId9"/>
      <w:pgSz w:w="16838" w:h="11906" w:orient="landscape"/>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748B"/>
        <w:sz w:val="18"/>
      </w:rPr>
      <w:t xml:space="preserve">Tài liệu miễn phí từ SmartTest – tạo đề theo ma trận này bằng AI: </w:t>
    </w:r>
    <w:hyperlink r:id="rId1">
      <w:r>
        <w:rPr>
          <w:color w:val="1D4ED8"/>
          <w:u w:val="single"/>
          <w:sz w:val="18"/>
        </w:rPr>
        <w:t>smarttest.vn/vi/ma-tran-de-kiem-tra/lop-10/tieng-anh/giua-ki-2</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smarttest.vn/vi/ma-tran-de-kiem-tra/lop-10/tieng-anh/giua-ki-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 trận, bản đặc tả đề kiểm tra giữa học kì ii Tiếng Anh 10</dc:title>
  <dc:subject>Tiếng Anh 10 – Kết nối tri thức</dc:subject>
  <dc:creator>SmartTest</dc:creator>
  <cp:keywords>ma trận đề kiểm tra, bản đặc tả, tiếng anh 10, giữa học kì ii</cp:keywords>
  <dc:description/>
  <cp:lastModifiedBy>SmartTest</cp:lastModifiedBy>
  <cp:revision>1</cp:revision>
  <dcterms:created xsi:type="dcterms:W3CDTF">2026-10-30T05:28:11Z</dcterms:created>
  <dcterms:modified xsi:type="dcterms:W3CDTF">2026-10-30T05:28:11Z</dcterms:modified>
  <cp:category/>
</cp:coreProperties>
</file>