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CUỐI HỌC KÌ I – NĂM HỌC 2026-2027</w:t>
      </w:r>
    </w:p>
    <w:p>
      <w:pPr>
        <w:spacing w:after="40"/>
        <w:jc w:val="center"/>
      </w:pPr>
      <w:r>
        <w:rPr>
          <w:b/>
          <w:i w:val="0"/>
          <w:sz w:val="26"/>
        </w:rPr>
        <w:t>MÔN: TOÁN 11</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Cuối học kì I</w:t>
      </w:r>
    </w:p>
    <w:p>
      <w:pPr>
        <w:spacing w:after="40"/>
      </w:pPr>
      <w:r>
        <w:rPr>
          <w:b w:val="0"/>
          <w:i w:val="0"/>
          <w:sz w:val="22"/>
        </w:rPr>
        <w:t>- Thời gian làm bài: 90 phút</w:t>
      </w:r>
    </w:p>
    <w:p>
      <w:pPr>
        <w:spacing w:after="40"/>
      </w:pPr>
      <w:r>
        <w:rPr>
          <w:b w:val="0"/>
          <w:i w:val="0"/>
          <w:sz w:val="22"/>
        </w:rPr>
        <w:t>- Hình thức kiểm tra: trắc nghiệm kết hợp 3 dạng thức</w:t>
      </w:r>
    </w:p>
    <w:p>
      <w:pPr>
        <w:spacing w:after="40"/>
      </w:pPr>
      <w:r>
        <w:rPr>
          <w:b w:val="0"/>
          <w:i w:val="0"/>
          <w:sz w:val="22"/>
        </w:rPr>
        <w:t>- Cấu trúc:</w:t>
      </w:r>
    </w:p>
    <w:p>
      <w:pPr>
        <w:spacing w:after="40"/>
      </w:pPr>
      <w:r>
        <w:rPr>
          <w:b w:val="0"/>
          <w:i w:val="0"/>
          <w:sz w:val="22"/>
        </w:rPr>
        <w:t xml:space="preserve">    + Phần I. Trắc nghiệm nhiều phương án lựa chọn: 12 câu – 3 điểm (30%)</w:t>
      </w:r>
    </w:p>
    <w:p>
      <w:pPr>
        <w:spacing w:after="40"/>
      </w:pPr>
      <w:r>
        <w:rPr>
          <w:b w:val="0"/>
          <w:i w:val="0"/>
          <w:sz w:val="22"/>
        </w:rPr>
        <w:t xml:space="preserve">    + Phần II. Trắc nghiệm đúng/sai: 4 câu (16 ý) – 4 điểm (40%)</w:t>
      </w:r>
    </w:p>
    <w:p>
      <w:pPr>
        <w:spacing w:after="40"/>
      </w:pPr>
      <w:r>
        <w:rPr>
          <w:b w:val="0"/>
          <w:i w:val="0"/>
          <w:sz w:val="22"/>
        </w:rPr>
        <w:t xml:space="preserve">    + Phần III. Trắc nghiệm trả lời ngắn: 6 câu – 3 điểm (30%)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Hàm số lượng giác và phương trình lượng giác; Chủ đề 2 – Dãy số. Cấp số cộng và cấp số nhân; Chủ đề 3 – Các số đặc trưng đo xu thế trung tâm của mẫu số liệu ghép nhóm; Chủ đề 4 – Quan hệ song song trong không gian</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5347"/>
        <w:gridCol w:w="652"/>
        <w:gridCol w:w="652"/>
        <w:gridCol w:w="652"/>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5347"/>
            <w:vMerge w:val="restart"/>
            <w:shd w:val="clear" w:color="auto" w:fill="D9E2F3"/>
          </w:tcPr>
          <w:p>
            <w:pPr>
              <w:spacing w:after="20"/>
              <w:jc w:val="center"/>
            </w:pPr>
            <w:r/>
            <w:r>
              <w:rPr>
                <w:rFonts w:ascii="Times New Roman" w:hAnsi="Times New Roman"/>
                <w:b/>
                <w:sz w:val="18"/>
              </w:rPr>
              <w:t>Đơn vị kiến thức</w:t>
            </w:r>
          </w:p>
        </w:tc>
        <w:tc>
          <w:tcPr>
            <w:tcW w:type="dxa" w:w="5868"/>
            <w:gridSpan w:val="9"/>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5347"/>
            <w:vMerge/>
          </w:tcPr>
          <w:p/>
        </w:tc>
        <w:tc>
          <w:tcPr>
            <w:tcW w:type="dxa" w:w="1956"/>
            <w:gridSpan w:val="3"/>
            <w:shd w:val="clear" w:color="auto" w:fill="D9E2F3"/>
          </w:tcPr>
          <w:p>
            <w:pPr>
              <w:spacing w:after="20"/>
              <w:jc w:val="center"/>
            </w:pPr>
            <w:r/>
            <w:r>
              <w:rPr>
                <w:rFonts w:ascii="Times New Roman" w:hAnsi="Times New Roman"/>
                <w:b/>
                <w:sz w:val="18"/>
              </w:rPr>
              <w:t>Phần I: TN nhiều phương án lựa chọn</w:t>
            </w:r>
          </w:p>
        </w:tc>
        <w:tc>
          <w:tcPr>
            <w:tcW w:type="dxa" w:w="1956"/>
            <w:gridSpan w:val="3"/>
            <w:shd w:val="clear" w:color="auto" w:fill="D9E2F3"/>
          </w:tcPr>
          <w:p>
            <w:pPr>
              <w:spacing w:after="20"/>
              <w:jc w:val="center"/>
            </w:pPr>
            <w:r/>
            <w:r>
              <w:rPr>
                <w:rFonts w:ascii="Times New Roman" w:hAnsi="Times New Roman"/>
                <w:b/>
                <w:sz w:val="18"/>
              </w:rPr>
              <w:t>Phần II: TN đúng/sai (tính theo ý)</w:t>
            </w:r>
          </w:p>
        </w:tc>
        <w:tc>
          <w:tcPr>
            <w:tcW w:type="dxa" w:w="1956"/>
            <w:gridSpan w:val="3"/>
            <w:shd w:val="clear" w:color="auto" w:fill="D9E2F3"/>
          </w:tcPr>
          <w:p>
            <w:pPr>
              <w:spacing w:after="20"/>
              <w:jc w:val="center"/>
            </w:pPr>
            <w:r/>
            <w:r>
              <w:rPr>
                <w:rFonts w:ascii="Times New Roman" w:hAnsi="Times New Roman"/>
                <w:b/>
                <w:sz w:val="18"/>
              </w:rPr>
              <w:t>Phần III: TN trả lời ngắn</w:t>
            </w:r>
          </w:p>
        </w:tc>
        <w:tc>
          <w:tcPr>
            <w:tcW w:type="dxa" w:w="963"/>
            <w:vMerge/>
          </w:tcPr>
          <w:p/>
        </w:tc>
        <w:tc>
          <w:tcPr>
            <w:tcW w:type="dxa" w:w="850"/>
            <w:vMerge/>
          </w:tcPr>
          <w:p/>
        </w:tc>
      </w:tr>
      <w:tr>
        <w:tc>
          <w:tcPr>
            <w:tcW w:type="dxa" w:w="510"/>
            <w:vMerge/>
          </w:tcPr>
          <w:p/>
        </w:tc>
        <w:tc>
          <w:tcPr>
            <w:tcW w:type="dxa" w:w="1600"/>
            <w:vMerge/>
          </w:tcPr>
          <w:p/>
        </w:tc>
        <w:tc>
          <w:tcPr>
            <w:tcW w:type="dxa" w:w="5347"/>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tcPr>
          <w:p>
            <w:pPr>
              <w:spacing w:after="20"/>
              <w:jc w:val="center"/>
            </w:pPr>
            <w:r/>
            <w:r>
              <w:rPr>
                <w:rFonts w:ascii="Times New Roman" w:hAnsi="Times New Roman"/>
                <w:b w:val="0"/>
                <w:sz w:val="18"/>
              </w:rPr>
              <w:t>1</w:t>
            </w:r>
          </w:p>
        </w:tc>
        <w:tc>
          <w:tcPr>
            <w:tcW w:type="dxa" w:w="1600"/>
          </w:tcPr>
          <w:p>
            <w:pPr>
              <w:spacing w:after="20"/>
              <w:jc w:val="left"/>
            </w:pPr>
            <w:r/>
            <w:r>
              <w:rPr>
                <w:rFonts w:ascii="Times New Roman" w:hAnsi="Times New Roman"/>
                <w:b/>
                <w:sz w:val="18"/>
              </w:rPr>
              <w:t>Hàm số lượng giác và phương trình lượng giác</w:t>
            </w:r>
          </w:p>
        </w:tc>
        <w:tc>
          <w:tcPr>
            <w:tcW w:type="dxa" w:w="5347"/>
          </w:tcPr>
          <w:p>
            <w:pPr>
              <w:spacing w:after="20"/>
              <w:jc w:val="left"/>
            </w:pPr>
            <w:r/>
            <w:r>
              <w:rPr>
                <w:rFonts w:ascii="Times New Roman" w:hAnsi="Times New Roman"/>
                <w:b w:val="0"/>
                <w:sz w:val="18"/>
              </w:rPr>
              <w:t>Giá trị lượng giác của góc lượng giác; Công thức lượng giác; Hàm số lượng giác; Phương trình lượng giác cơ bản</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2</w:t>
            </w:r>
          </w:p>
        </w:tc>
        <w:tc>
          <w:tcPr>
            <w:tcW w:type="dxa" w:w="1600"/>
          </w:tcPr>
          <w:p>
            <w:pPr>
              <w:spacing w:after="20"/>
              <w:jc w:val="left"/>
            </w:pPr>
            <w:r/>
            <w:r>
              <w:rPr>
                <w:rFonts w:ascii="Times New Roman" w:hAnsi="Times New Roman"/>
                <w:b/>
                <w:sz w:val="18"/>
              </w:rPr>
              <w:t>Dãy số. Cấp số cộng và cấp số nhân</w:t>
            </w:r>
          </w:p>
        </w:tc>
        <w:tc>
          <w:tcPr>
            <w:tcW w:type="dxa" w:w="5347"/>
          </w:tcPr>
          <w:p>
            <w:pPr>
              <w:spacing w:after="20"/>
              <w:jc w:val="left"/>
            </w:pPr>
            <w:r/>
            <w:r>
              <w:rPr>
                <w:rFonts w:ascii="Times New Roman" w:hAnsi="Times New Roman"/>
                <w:b w:val="0"/>
                <w:sz w:val="18"/>
              </w:rPr>
              <w:t>Dãy số; Cấp số cộng; Cấp số nhân</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3</w:t>
            </w:r>
          </w:p>
        </w:tc>
        <w:tc>
          <w:tcPr>
            <w:tcW w:type="dxa" w:w="1600"/>
          </w:tcPr>
          <w:p>
            <w:pPr>
              <w:spacing w:after="20"/>
              <w:jc w:val="left"/>
            </w:pPr>
            <w:r/>
            <w:r>
              <w:rPr>
                <w:rFonts w:ascii="Times New Roman" w:hAnsi="Times New Roman"/>
                <w:b/>
                <w:sz w:val="18"/>
              </w:rPr>
              <w:t>Các số đặc trưng đo xu thế trung tâm của mẫu số liệu ghép nhóm</w:t>
            </w:r>
          </w:p>
        </w:tc>
        <w:tc>
          <w:tcPr>
            <w:tcW w:type="dxa" w:w="5347"/>
          </w:tcPr>
          <w:p>
            <w:pPr>
              <w:spacing w:after="20"/>
              <w:jc w:val="left"/>
            </w:pPr>
            <w:r/>
            <w:r>
              <w:rPr>
                <w:rFonts w:ascii="Times New Roman" w:hAnsi="Times New Roman"/>
                <w:b w:val="0"/>
                <w:sz w:val="18"/>
              </w:rPr>
              <w:t>Mẫu số liệu ghép nhóm; Các số đặc trưng đo xu thế trung tâm</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9</w:t>
            </w:r>
          </w:p>
        </w:tc>
        <w:tc>
          <w:tcPr>
            <w:tcW w:type="dxa" w:w="850"/>
          </w:tcPr>
          <w:p>
            <w:pPr>
              <w:spacing w:after="20"/>
              <w:jc w:val="center"/>
            </w:pPr>
            <w:r/>
            <w:r>
              <w:rPr>
                <w:rFonts w:ascii="Times New Roman" w:hAnsi="Times New Roman"/>
                <w:b w:val="0"/>
                <w:sz w:val="18"/>
              </w:rPr>
              <w:t>27,5%</w:t>
            </w:r>
          </w:p>
        </w:tc>
      </w:tr>
      <w:tr>
        <w:tc>
          <w:tcPr>
            <w:tcW w:type="dxa" w:w="510"/>
            <w:vMerge w:val="restart"/>
          </w:tcPr>
          <w:p>
            <w:pPr>
              <w:spacing w:after="20"/>
              <w:jc w:val="center"/>
            </w:pPr>
            <w:r/>
            <w:r>
              <w:rPr>
                <w:rFonts w:ascii="Times New Roman" w:hAnsi="Times New Roman"/>
                <w:b w:val="0"/>
                <w:sz w:val="18"/>
              </w:rPr>
              <w:t>4</w:t>
            </w:r>
          </w:p>
        </w:tc>
        <w:tc>
          <w:tcPr>
            <w:tcW w:type="dxa" w:w="1600"/>
            <w:vMerge w:val="restart"/>
          </w:tcPr>
          <w:p>
            <w:pPr>
              <w:spacing w:after="20"/>
              <w:jc w:val="left"/>
            </w:pPr>
            <w:r/>
            <w:r>
              <w:rPr>
                <w:rFonts w:ascii="Times New Roman" w:hAnsi="Times New Roman"/>
                <w:b/>
                <w:sz w:val="18"/>
              </w:rPr>
              <w:t>Quan hệ song song trong không gian</w:t>
            </w:r>
          </w:p>
        </w:tc>
        <w:tc>
          <w:tcPr>
            <w:tcW w:type="dxa" w:w="5347"/>
          </w:tcPr>
          <w:p>
            <w:pPr>
              <w:spacing w:after="20"/>
              <w:jc w:val="left"/>
            </w:pPr>
            <w:r/>
            <w:r>
              <w:rPr>
                <w:rFonts w:ascii="Times New Roman" w:hAnsi="Times New Roman"/>
                <w:b w:val="0"/>
                <w:sz w:val="18"/>
              </w:rPr>
              <w:t>Đường thẳng và mặt phẳng trong không gian; Hai đường thẳng song song</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8</w:t>
            </w:r>
          </w:p>
        </w:tc>
        <w:tc>
          <w:tcPr>
            <w:tcW w:type="dxa" w:w="850"/>
          </w:tcPr>
          <w:p>
            <w:pPr>
              <w:spacing w:after="20"/>
              <w:jc w:val="center"/>
            </w:pPr>
            <w:r/>
            <w:r>
              <w:rPr>
                <w:rFonts w:ascii="Times New Roman" w:hAnsi="Times New Roman"/>
                <w:b w:val="0"/>
                <w:sz w:val="18"/>
              </w:rPr>
              <w:t>22,5%</w:t>
            </w:r>
          </w:p>
        </w:tc>
      </w:tr>
      <w:tr>
        <w:tc>
          <w:tcPr>
            <w:tcW w:type="dxa" w:w="510"/>
            <w:vMerge/>
          </w:tcPr>
          <w:p/>
        </w:tc>
        <w:tc>
          <w:tcPr>
            <w:tcW w:type="dxa" w:w="1600"/>
            <w:vMerge/>
          </w:tcPr>
          <w:p/>
        </w:tc>
        <w:tc>
          <w:tcPr>
            <w:tcW w:type="dxa" w:w="5347"/>
          </w:tcPr>
          <w:p>
            <w:pPr>
              <w:spacing w:after="20"/>
              <w:jc w:val="left"/>
            </w:pPr>
            <w:r/>
            <w:r>
              <w:rPr>
                <w:rFonts w:ascii="Times New Roman" w:hAnsi="Times New Roman"/>
                <w:b w:val="0"/>
                <w:sz w:val="18"/>
              </w:rPr>
              <w:t>Đường thẳng và mặt phẳng song song; Hai mặt phẳng song song; Phép chiếu song song</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9</w:t>
            </w:r>
          </w:p>
        </w:tc>
        <w:tc>
          <w:tcPr>
            <w:tcW w:type="dxa" w:w="850"/>
          </w:tcPr>
          <w:p>
            <w:pPr>
              <w:spacing w:after="20"/>
              <w:jc w:val="center"/>
            </w:pPr>
            <w:r/>
            <w:r>
              <w:rPr>
                <w:rFonts w:ascii="Times New Roman" w:hAnsi="Times New Roman"/>
                <w:b w:val="0"/>
                <w:sz w:val="18"/>
              </w:rPr>
              <w:t>25%</w:t>
            </w:r>
          </w:p>
        </w:tc>
      </w:tr>
      <w:tr>
        <w:tc>
          <w:tcPr>
            <w:tcW w:type="dxa" w:w="7457"/>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8</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4</w:t>
            </w:r>
          </w:p>
        </w:tc>
        <w:tc>
          <w:tcPr>
            <w:tcW w:type="dxa" w:w="652"/>
            <w:shd w:val="clear" w:color="auto" w:fill="F2F2F2"/>
          </w:tcPr>
          <w:p>
            <w:pPr>
              <w:spacing w:after="20"/>
              <w:jc w:val="center"/>
            </w:pPr>
            <w:r/>
            <w:r>
              <w:rPr>
                <w:rFonts w:ascii="Times New Roman" w:hAnsi="Times New Roman"/>
                <w:b/>
                <w:sz w:val="18"/>
              </w:rPr>
              <w:t>6</w:t>
            </w:r>
          </w:p>
        </w:tc>
        <w:tc>
          <w:tcPr>
            <w:tcW w:type="dxa" w:w="652"/>
            <w:shd w:val="clear" w:color="auto" w:fill="F2F2F2"/>
          </w:tcPr>
          <w:p>
            <w:pPr>
              <w:spacing w:after="20"/>
              <w:jc w:val="center"/>
            </w:pPr>
            <w:r/>
            <w:r>
              <w:rPr>
                <w:rFonts w:ascii="Times New Roman" w:hAnsi="Times New Roman"/>
                <w:b/>
                <w:sz w:val="18"/>
              </w:rPr>
              <w:t>6</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963"/>
            <w:shd w:val="clear" w:color="auto" w:fill="F2F2F2"/>
          </w:tcPr>
          <w:p>
            <w:pPr>
              <w:spacing w:after="20"/>
              <w:jc w:val="center"/>
            </w:pPr>
            <w:r/>
            <w:r>
              <w:rPr>
                <w:rFonts w:ascii="Times New Roman" w:hAnsi="Times New Roman"/>
                <w:b/>
                <w:sz w:val="18"/>
              </w:rPr>
              <w:t>34</w:t>
            </w:r>
          </w:p>
        </w:tc>
        <w:tc>
          <w:tcPr>
            <w:tcW w:type="dxa" w:w="850"/>
            <w:shd w:val="clear" w:color="auto" w:fill="F2F2F2"/>
          </w:tcPr>
          <w:p>
            <w:pPr>
              <w:spacing w:after="20"/>
              <w:jc w:val="center"/>
            </w:pPr>
            <w:r/>
            <w:r>
              <w:rPr>
                <w:rFonts w:ascii="Times New Roman" w:hAnsi="Times New Roman"/>
                <w:b/>
                <w:sz w:val="18"/>
              </w:rPr>
              <w:t>100%</w:t>
            </w:r>
          </w:p>
        </w:tc>
      </w:tr>
      <w:tr>
        <w:tc>
          <w:tcPr>
            <w:tcW w:type="dxa" w:w="7457"/>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3 điểm</w:t>
            </w:r>
          </w:p>
        </w:tc>
        <w:tc>
          <w:tcPr>
            <w:tcW w:type="dxa" w:w="1956"/>
            <w:gridSpan w:val="3"/>
            <w:shd w:val="clear" w:color="auto" w:fill="F2F2F2"/>
          </w:tcPr>
          <w:p>
            <w:pPr>
              <w:spacing w:after="20"/>
              <w:jc w:val="center"/>
            </w:pPr>
            <w:r/>
            <w:r>
              <w:rPr>
                <w:rFonts w:ascii="Times New Roman" w:hAnsi="Times New Roman"/>
                <w:b/>
                <w:sz w:val="18"/>
              </w:rPr>
              <w:t>4 điểm</w:t>
            </w:r>
          </w:p>
        </w:tc>
        <w:tc>
          <w:tcPr>
            <w:tcW w:type="dxa" w:w="1956"/>
            <w:gridSpan w:val="3"/>
            <w:shd w:val="clear" w:color="auto" w:fill="F2F2F2"/>
          </w:tcPr>
          <w:p>
            <w:pPr>
              <w:spacing w:after="20"/>
              <w:jc w:val="center"/>
            </w:pPr>
            <w:r/>
            <w:r>
              <w:rPr>
                <w:rFonts w:ascii="Times New Roman" w:hAnsi="Times New Roman"/>
                <w:b/>
                <w:sz w:val="18"/>
              </w:rPr>
              <w:t>3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7457"/>
            <w:gridSpan w:val="3"/>
            <w:shd w:val="clear" w:color="auto" w:fill="F2F2F2"/>
          </w:tcPr>
          <w:p>
            <w:pPr>
              <w:spacing w:after="20"/>
              <w:jc w:val="left"/>
            </w:pPr>
            <w:r/>
            <w:r>
              <w:rPr>
                <w:rFonts w:ascii="Times New Roman" w:hAnsi="Times New Roman"/>
                <w:b/>
                <w:sz w:val="18"/>
              </w:rPr>
              <w:t>Tỉ lệ theo mức độ (NB – TH – VD)</w:t>
            </w:r>
          </w:p>
        </w:tc>
        <w:tc>
          <w:tcPr>
            <w:tcW w:type="dxa" w:w="7681"/>
            <w:gridSpan w:val="11"/>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 Phần II: mỗi ý 0,25 điểm (mỗi câu 4 ý = 1 điểm); Phần III: mỗi câu 0,5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6238"/>
        <w:gridCol w:w="567"/>
        <w:gridCol w:w="567"/>
        <w:gridCol w:w="567"/>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6238"/>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5103"/>
            <w:gridSpan w:val="9"/>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6238"/>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c>
          <w:tcPr>
            <w:tcW w:type="dxa" w:w="1701"/>
            <w:gridSpan w:val="3"/>
            <w:shd w:val="clear" w:color="auto" w:fill="D9E2F3"/>
          </w:tcPr>
          <w:p>
            <w:pPr>
              <w:spacing w:after="20"/>
              <w:jc w:val="center"/>
            </w:pPr>
            <w:r/>
            <w:r>
              <w:rPr>
                <w:rFonts w:ascii="Times New Roman" w:hAnsi="Times New Roman"/>
                <w:b/>
                <w:sz w:val="18"/>
              </w:rPr>
              <w:t>TN đúng/sai (ý)</w:t>
            </w:r>
          </w:p>
        </w:tc>
        <w:tc>
          <w:tcPr>
            <w:tcW w:type="dxa" w:w="1701"/>
            <w:gridSpan w:val="3"/>
            <w:shd w:val="clear" w:color="auto" w:fill="D9E2F3"/>
          </w:tcPr>
          <w:p>
            <w:pPr>
              <w:spacing w:after="20"/>
              <w:jc w:val="center"/>
            </w:pPr>
            <w:r/>
            <w:r>
              <w:rPr>
                <w:rFonts w:ascii="Times New Roman" w:hAnsi="Times New Roman"/>
                <w:b/>
                <w:sz w:val="18"/>
              </w:rPr>
              <w:t>TN trả lời ngắn</w:t>
            </w:r>
          </w:p>
        </w:tc>
      </w:tr>
      <w:tr>
        <w:tc>
          <w:tcPr>
            <w:tcW w:type="dxa" w:w="510"/>
            <w:vMerge/>
          </w:tcPr>
          <w:p/>
        </w:tc>
        <w:tc>
          <w:tcPr>
            <w:tcW w:type="dxa" w:w="1360"/>
            <w:vMerge/>
          </w:tcPr>
          <w:p/>
        </w:tc>
        <w:tc>
          <w:tcPr>
            <w:tcW w:type="dxa" w:w="1927"/>
            <w:vMerge/>
          </w:tcPr>
          <w:p/>
        </w:tc>
        <w:tc>
          <w:tcPr>
            <w:tcW w:type="dxa" w:w="6238"/>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tcPr>
          <w:p>
            <w:pPr>
              <w:spacing w:after="20"/>
              <w:jc w:val="center"/>
            </w:pPr>
            <w:r/>
            <w:r>
              <w:rPr>
                <w:rFonts w:ascii="Times New Roman" w:hAnsi="Times New Roman"/>
                <w:b w:val="0"/>
                <w:sz w:val="18"/>
              </w:rPr>
              <w:t>1</w:t>
            </w:r>
          </w:p>
        </w:tc>
        <w:tc>
          <w:tcPr>
            <w:tcW w:type="dxa" w:w="1360"/>
          </w:tcPr>
          <w:p>
            <w:pPr>
              <w:spacing w:after="20"/>
              <w:jc w:val="left"/>
            </w:pPr>
            <w:r/>
            <w:r>
              <w:rPr>
                <w:rFonts w:ascii="Times New Roman" w:hAnsi="Times New Roman"/>
                <w:b/>
                <w:sz w:val="18"/>
              </w:rPr>
              <w:t>Hàm số lượng giác và phương trình lượng giác</w:t>
            </w:r>
          </w:p>
        </w:tc>
        <w:tc>
          <w:tcPr>
            <w:tcW w:type="dxa" w:w="1927"/>
          </w:tcPr>
          <w:p>
            <w:pPr>
              <w:spacing w:after="20"/>
              <w:jc w:val="left"/>
            </w:pPr>
            <w:r/>
            <w:r>
              <w:rPr>
                <w:rFonts w:ascii="Times New Roman" w:hAnsi="Times New Roman"/>
                <w:b w:val="0"/>
                <w:sz w:val="18"/>
              </w:rPr>
              <w:t>Giá trị lượng giác của góc lượng giác; Công thức lượng giác; Hàm số lượng giác; Phương trình lượng giác cơ bản</w:t>
            </w:r>
          </w:p>
        </w:tc>
        <w:tc>
          <w:tcPr>
            <w:tcW w:type="dxa" w:w="6238"/>
          </w:tcPr>
          <w:p>
            <w:r/>
            <w:r>
              <w:rPr>
                <w:b/>
                <w:sz w:val="18"/>
              </w:rPr>
              <w:t>Nhận biết:</w:t>
            </w:r>
          </w:p>
          <w:p>
            <w:pPr>
              <w:spacing w:after="0"/>
            </w:pPr>
            <w:r>
              <w:rPr>
                <w:sz w:val="18"/>
              </w:rPr>
              <w:t>- Nhận biết đơn vị radian, giá trị lượng giác của góc lượng giác, các công thức cơ bản, công thức cộng, nhân đôi, biến đổi tích thành tổng, tổng thành tích.</w:t>
            </w:r>
          </w:p>
          <w:p>
            <w:pPr>
              <w:spacing w:after="0"/>
            </w:pPr>
            <w:r>
              <w:rPr>
                <w:sz w:val="18"/>
              </w:rPr>
              <w:t>- Nhận biết tập xác định, tập giá trị, tính chẵn lẻ, tính tuần hoàn, đồ thị của các hàm số lượng giác; nghiệm của phương trình lượng giác cơ bản.</w:t>
            </w:r>
          </w:p>
          <w:p>
            <w:r>
              <w:rPr>
                <w:b/>
                <w:sz w:val="18"/>
              </w:rPr>
              <w:t>Thông hiểu:</w:t>
            </w:r>
          </w:p>
          <w:p>
            <w:pPr>
              <w:spacing w:after="0"/>
            </w:pPr>
            <w:r>
              <w:rPr>
                <w:sz w:val="18"/>
              </w:rPr>
              <w:t>- Tính được giá trị lượng giác; rút gọn, biến đổi biểu thức lượng giác.</w:t>
            </w:r>
          </w:p>
          <w:p>
            <w:pPr>
              <w:spacing w:after="0"/>
            </w:pPr>
            <w:r>
              <w:rPr>
                <w:sz w:val="18"/>
              </w:rPr>
              <w:t>- Giải được phương trình lượng giác cơ bản và phương trình đưa về dạng cơ bản.</w:t>
            </w:r>
          </w:p>
          <w:p>
            <w:r>
              <w:rPr>
                <w:b/>
                <w:sz w:val="18"/>
              </w:rPr>
              <w:t>Vận dụng:</w:t>
            </w:r>
          </w:p>
          <w:p>
            <w:pPr>
              <w:spacing w:after="0"/>
            </w:pPr>
            <w:r>
              <w:rPr>
                <w:sz w:val="18"/>
              </w:rPr>
              <w:t>- Vận dụng công thức lượng giác giải bài toán thực tiễn (dao động, góc quay).</w:t>
            </w:r>
          </w:p>
          <w:p>
            <w:pPr>
              <w:spacing w:after="0"/>
            </w:pPr>
            <w:r>
              <w:rPr>
                <w:sz w:val="18"/>
              </w:rPr>
              <w:t>- Giải bài toán thực tiễn bằng hàm số và phương trình lượng giác (thuỷ triều, chuyển động tuần hoàn).</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2</w:t>
            </w:r>
          </w:p>
        </w:tc>
        <w:tc>
          <w:tcPr>
            <w:tcW w:type="dxa" w:w="1360"/>
          </w:tcPr>
          <w:p>
            <w:pPr>
              <w:spacing w:after="20"/>
              <w:jc w:val="left"/>
            </w:pPr>
            <w:r/>
            <w:r>
              <w:rPr>
                <w:rFonts w:ascii="Times New Roman" w:hAnsi="Times New Roman"/>
                <w:b/>
                <w:sz w:val="18"/>
              </w:rPr>
              <w:t>Dãy số. Cấp số cộng và cấp số nhân</w:t>
            </w:r>
          </w:p>
        </w:tc>
        <w:tc>
          <w:tcPr>
            <w:tcW w:type="dxa" w:w="1927"/>
          </w:tcPr>
          <w:p>
            <w:pPr>
              <w:spacing w:after="20"/>
              <w:jc w:val="left"/>
            </w:pPr>
            <w:r/>
            <w:r>
              <w:rPr>
                <w:rFonts w:ascii="Times New Roman" w:hAnsi="Times New Roman"/>
                <w:b w:val="0"/>
                <w:sz w:val="18"/>
              </w:rPr>
              <w:t>Dãy số; Cấp số cộng; Cấp số nhân</w:t>
            </w:r>
          </w:p>
        </w:tc>
        <w:tc>
          <w:tcPr>
            <w:tcW w:type="dxa" w:w="6238"/>
          </w:tcPr>
          <w:p>
            <w:r/>
            <w:r>
              <w:rPr>
                <w:b/>
                <w:sz w:val="18"/>
              </w:rPr>
              <w:t>Nhận biết:</w:t>
            </w:r>
          </w:p>
          <w:p>
            <w:pPr>
              <w:spacing w:after="0"/>
            </w:pPr>
            <w:r>
              <w:rPr>
                <w:sz w:val="18"/>
              </w:rPr>
              <w:t>- Nhận biết dãy số, các cách cho dãy số, dãy số tăng, giảm, bị chặn.</w:t>
            </w:r>
          </w:p>
          <w:p>
            <w:pPr>
              <w:spacing w:after="0"/>
            </w:pPr>
            <w:r>
              <w:rPr>
                <w:sz w:val="18"/>
              </w:rPr>
              <w:t>- Nhận biết cấp số cộng, cấp số nhân; số hạng tổng quát, tổng n số hạng đầu.</w:t>
            </w:r>
          </w:p>
          <w:p>
            <w:r>
              <w:rPr>
                <w:b/>
                <w:sz w:val="18"/>
              </w:rPr>
              <w:t>Thông hiểu:</w:t>
            </w:r>
          </w:p>
          <w:p>
            <w:pPr>
              <w:spacing w:after="0"/>
            </w:pPr>
            <w:r>
              <w:rPr>
                <w:sz w:val="18"/>
              </w:rPr>
              <w:t>- Tìm được số hạng của dãy số; xét tính tăng, giảm, bị chặn.</w:t>
            </w:r>
          </w:p>
          <w:p>
            <w:pPr>
              <w:spacing w:after="0"/>
            </w:pPr>
            <w:r>
              <w:rPr>
                <w:sz w:val="18"/>
              </w:rPr>
              <w:t>- Xác định công sai, công bội, số hạng, tổng n số hạng đầu.</w:t>
            </w:r>
          </w:p>
          <w:p>
            <w:r>
              <w:rPr>
                <w:b/>
                <w:sz w:val="18"/>
              </w:rPr>
              <w:t>Vận dụng:</w:t>
            </w:r>
          </w:p>
          <w:p>
            <w:pPr>
              <w:spacing w:after="0"/>
            </w:pPr>
            <w:r>
              <w:rPr>
                <w:sz w:val="18"/>
              </w:rPr>
              <w:t>- Vận dụng dãy số để mô tả, giải quyết bài toán thực tiễn đơn giản.</w:t>
            </w:r>
          </w:p>
          <w:p>
            <w:pPr>
              <w:spacing w:after="0"/>
            </w:pPr>
            <w:r>
              <w:rPr>
                <w:sz w:val="18"/>
              </w:rPr>
              <w:t>- Vận dụng cấp số cộng, cấp số nhân vào bài toán thực tiễn (lãi kép, tăng trưởng dân số).</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tcPr>
          <w:p>
            <w:pPr>
              <w:spacing w:after="20"/>
              <w:jc w:val="center"/>
            </w:pPr>
            <w:r/>
            <w:r>
              <w:rPr>
                <w:rFonts w:ascii="Times New Roman" w:hAnsi="Times New Roman"/>
                <w:b w:val="0"/>
                <w:sz w:val="18"/>
              </w:rPr>
              <w:t>3</w:t>
            </w:r>
          </w:p>
        </w:tc>
        <w:tc>
          <w:tcPr>
            <w:tcW w:type="dxa" w:w="1360"/>
          </w:tcPr>
          <w:p>
            <w:pPr>
              <w:spacing w:after="20"/>
              <w:jc w:val="left"/>
            </w:pPr>
            <w:r/>
            <w:r>
              <w:rPr>
                <w:rFonts w:ascii="Times New Roman" w:hAnsi="Times New Roman"/>
                <w:b/>
                <w:sz w:val="18"/>
              </w:rPr>
              <w:t>Các số đặc trưng đo xu thế trung tâm của mẫu số liệu ghép nhóm</w:t>
            </w:r>
          </w:p>
        </w:tc>
        <w:tc>
          <w:tcPr>
            <w:tcW w:type="dxa" w:w="1927"/>
          </w:tcPr>
          <w:p>
            <w:pPr>
              <w:spacing w:after="20"/>
              <w:jc w:val="left"/>
            </w:pPr>
            <w:r/>
            <w:r>
              <w:rPr>
                <w:rFonts w:ascii="Times New Roman" w:hAnsi="Times New Roman"/>
                <w:b w:val="0"/>
                <w:sz w:val="18"/>
              </w:rPr>
              <w:t>Mẫu số liệu ghép nhóm; Các số đặc trưng đo xu thế trung tâm</w:t>
            </w:r>
          </w:p>
        </w:tc>
        <w:tc>
          <w:tcPr>
            <w:tcW w:type="dxa" w:w="6238"/>
          </w:tcPr>
          <w:p>
            <w:r/>
            <w:r>
              <w:rPr>
                <w:b/>
                <w:sz w:val="18"/>
              </w:rPr>
              <w:t>Nhận biết:</w:t>
            </w:r>
          </w:p>
          <w:p>
            <w:pPr>
              <w:spacing w:after="0"/>
            </w:pPr>
            <w:r>
              <w:rPr>
                <w:sz w:val="18"/>
              </w:rPr>
              <w:t>- Nhận biết mẫu số liệu ghép nhóm, bảng tần số ghép nhóm; số trung bình, trung vị, tứ phân vị, mốt của mẫu số liệu ghép nhóm.</w:t>
            </w:r>
          </w:p>
          <w:p>
            <w:r>
              <w:rPr>
                <w:b/>
                <w:sz w:val="18"/>
              </w:rPr>
              <w:t>Thông hiểu:</w:t>
            </w:r>
          </w:p>
          <w:p>
            <w:pPr>
              <w:spacing w:after="0"/>
            </w:pPr>
            <w:r>
              <w:rPr>
                <w:sz w:val="18"/>
              </w:rPr>
              <w:t>- Ghép nhóm được mẫu số liệu; tính được số trung bình, trung vị, tứ phân vị, mốt của mẫu số liệu ghép nhóm.</w:t>
            </w:r>
          </w:p>
          <w:p>
            <w:r>
              <w:rPr>
                <w:b/>
                <w:sz w:val="18"/>
              </w:rPr>
              <w:t>Vận dụng:</w:t>
            </w:r>
          </w:p>
          <w:p>
            <w:pPr>
              <w:spacing w:after="0"/>
            </w:pPr>
            <w:r>
              <w:rPr>
                <w:sz w:val="18"/>
              </w:rPr>
              <w:t>- Giải thích ý nghĩa các số đặc trưng đo xu thế trung tâm và rút ra kết luận trong tình huống thực tiễn.</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r>
      <w:tr>
        <w:tc>
          <w:tcPr>
            <w:tcW w:type="dxa" w:w="510"/>
            <w:vMerge w:val="restart"/>
          </w:tcPr>
          <w:p>
            <w:pPr>
              <w:spacing w:after="20"/>
              <w:jc w:val="center"/>
            </w:pPr>
            <w:r/>
            <w:r>
              <w:rPr>
                <w:rFonts w:ascii="Times New Roman" w:hAnsi="Times New Roman"/>
                <w:b w:val="0"/>
                <w:sz w:val="18"/>
              </w:rPr>
              <w:t>4</w:t>
            </w:r>
          </w:p>
        </w:tc>
        <w:tc>
          <w:tcPr>
            <w:tcW w:type="dxa" w:w="1360"/>
            <w:vMerge w:val="restart"/>
          </w:tcPr>
          <w:p>
            <w:pPr>
              <w:spacing w:after="20"/>
              <w:jc w:val="left"/>
            </w:pPr>
            <w:r/>
            <w:r>
              <w:rPr>
                <w:rFonts w:ascii="Times New Roman" w:hAnsi="Times New Roman"/>
                <w:b/>
                <w:sz w:val="18"/>
              </w:rPr>
              <w:t>Quan hệ song song trong không gian</w:t>
            </w:r>
          </w:p>
        </w:tc>
        <w:tc>
          <w:tcPr>
            <w:tcW w:type="dxa" w:w="1927"/>
          </w:tcPr>
          <w:p>
            <w:pPr>
              <w:spacing w:after="20"/>
              <w:jc w:val="left"/>
            </w:pPr>
            <w:r/>
            <w:r>
              <w:rPr>
                <w:rFonts w:ascii="Times New Roman" w:hAnsi="Times New Roman"/>
                <w:b w:val="0"/>
                <w:sz w:val="18"/>
              </w:rPr>
              <w:t>Đường thẳng và mặt phẳng trong không gian; Hai đường thẳng song song</w:t>
            </w:r>
          </w:p>
        </w:tc>
        <w:tc>
          <w:tcPr>
            <w:tcW w:type="dxa" w:w="6238"/>
          </w:tcPr>
          <w:p>
            <w:r/>
            <w:r>
              <w:rPr>
                <w:b/>
                <w:sz w:val="18"/>
              </w:rPr>
              <w:t>Nhận biết:</w:t>
            </w:r>
          </w:p>
          <w:p>
            <w:pPr>
              <w:spacing w:after="0"/>
            </w:pPr>
            <w:r>
              <w:rPr>
                <w:sz w:val="18"/>
              </w:rPr>
              <w:t>- Nhận biết các khái niệm điểm, đường thẳng, mặt phẳng, hình chóp, hình tứ diện; hai đường thẳng song song, chéo nhau.</w:t>
            </w:r>
          </w:p>
          <w:p>
            <w:r>
              <w:rPr>
                <w:b/>
                <w:sz w:val="18"/>
              </w:rPr>
              <w:t>Thông hiểu:</w:t>
            </w:r>
          </w:p>
          <w:p>
            <w:pPr>
              <w:spacing w:after="0"/>
            </w:pPr>
            <w:r>
              <w:rPr>
                <w:sz w:val="18"/>
              </w:rPr>
              <w:t>- Xác định giao tuyến của hai mặt phẳng, giao điểm của đường thẳng và mặt phẳng.</w:t>
            </w:r>
          </w:p>
          <w:p>
            <w:r>
              <w:rPr>
                <w:b/>
                <w:sz w:val="18"/>
              </w:rPr>
              <w:t>Vận dụng:</w:t>
            </w:r>
          </w:p>
          <w:p>
            <w:pPr>
              <w:spacing w:after="0"/>
            </w:pPr>
            <w:r>
              <w:rPr>
                <w:sz w:val="18"/>
              </w:rPr>
              <w:t>- Dựng thiết diện, giải bài toán hình học không gian đơn giản.</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Đường thẳng và mặt phẳng song song; Hai mặt phẳng song song; Phép chiếu song song</w:t>
            </w:r>
          </w:p>
        </w:tc>
        <w:tc>
          <w:tcPr>
            <w:tcW w:type="dxa" w:w="6238"/>
          </w:tcPr>
          <w:p>
            <w:r/>
            <w:r>
              <w:rPr>
                <w:b/>
                <w:sz w:val="18"/>
              </w:rPr>
              <w:t>Nhận biết:</w:t>
            </w:r>
          </w:p>
          <w:p>
            <w:pPr>
              <w:spacing w:after="0"/>
            </w:pPr>
            <w:r>
              <w:rPr>
                <w:sz w:val="18"/>
              </w:rPr>
              <w:t>- Nhận biết điều kiện và tính chất của đường thẳng song song với mặt phẳng, hai mặt phẳng song song; hình lăng trụ, hình hộp; phép chiếu song song.</w:t>
            </w:r>
          </w:p>
          <w:p>
            <w:r>
              <w:rPr>
                <w:b/>
                <w:sz w:val="18"/>
              </w:rPr>
              <w:t>Thông hiểu:</w:t>
            </w:r>
          </w:p>
          <w:p>
            <w:pPr>
              <w:spacing w:after="0"/>
            </w:pPr>
            <w:r>
              <w:rPr>
                <w:sz w:val="18"/>
              </w:rPr>
              <w:t>- Chứng minh được quan hệ song song; xác định thiết diện; vẽ được hình biểu diễn của hình không gian đơn giản.</w:t>
            </w:r>
          </w:p>
          <w:p>
            <w:r>
              <w:rPr>
                <w:b/>
                <w:sz w:val="18"/>
              </w:rPr>
              <w:t>Vận dụng:</w:t>
            </w:r>
          </w:p>
          <w:p>
            <w:pPr>
              <w:spacing w:after="0"/>
            </w:pPr>
            <w:r>
              <w:rPr>
                <w:sz w:val="18"/>
              </w:rPr>
              <w:t>- Vận dụng định lí Thalès trong không gian, phép chiếu song song giải bài toán thực tế.</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smarttest.vn/vi/ma-tran-de-kiem-tra/lop-11/toan/cuoi-ki-1</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1/toan/cuoi-k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cuối học kì i Toán 11</dc:title>
  <dc:subject>Toán 11 – Kết nối tri thức</dc:subject>
  <dc:creator>SmartTest</dc:creator>
  <cp:keywords>ma trận đề kiểm tra, bản đặc tả, toán 11, cuối học kì i</cp:keywords>
  <dc:description/>
  <cp:lastModifiedBy>SmartTest</cp:lastModifiedBy>
  <cp:revision>1</cp:revision>
  <dcterms:created xsi:type="dcterms:W3CDTF">2026-10-30T05:28:15Z</dcterms:created>
  <dcterms:modified xsi:type="dcterms:W3CDTF">2026-10-30T05:28:15Z</dcterms:modified>
  <cp:category/>
</cp:coreProperties>
</file>