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GIỮA HỌC KÌ I – NĂM HỌC 2026-2027</w:t>
      </w:r>
    </w:p>
    <w:p>
      <w:pPr>
        <w:spacing w:after="40"/>
        <w:jc w:val="center"/>
      </w:pPr>
      <w:r>
        <w:rPr>
          <w:b/>
          <w:i w:val="0"/>
          <w:sz w:val="26"/>
        </w:rPr>
        <w:t>MÔN: NGỮ VĂN 11</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Giữa học kì I</w:t>
      </w:r>
    </w:p>
    <w:p>
      <w:pPr>
        <w:spacing w:after="40"/>
      </w:pPr>
      <w:r>
        <w:rPr>
          <w:b w:val="0"/>
          <w:i w:val="0"/>
          <w:sz w:val="22"/>
        </w:rPr>
        <w:t>- Thời gian làm bài: 90 phút</w:t>
      </w:r>
    </w:p>
    <w:p>
      <w:pPr>
        <w:spacing w:after="40"/>
      </w:pPr>
      <w:r>
        <w:rPr>
          <w:b w:val="0"/>
          <w:i w:val="0"/>
          <w:sz w:val="22"/>
        </w:rPr>
        <w:t>- Hình thức kiểm tra: tự luận (đọc hiểu và viết)</w:t>
      </w:r>
    </w:p>
    <w:p>
      <w:pPr>
        <w:spacing w:after="40"/>
      </w:pPr>
      <w:r>
        <w:rPr>
          <w:b w:val="0"/>
          <w:i w:val="0"/>
          <w:sz w:val="22"/>
        </w:rPr>
        <w:t>- Cấu trúc:</w:t>
      </w:r>
    </w:p>
    <w:p>
      <w:pPr>
        <w:spacing w:after="40"/>
      </w:pPr>
      <w:r>
        <w:rPr>
          <w:b w:val="0"/>
          <w:i w:val="0"/>
          <w:sz w:val="22"/>
        </w:rPr>
        <w:t xml:space="preserve">    + Phần I. Đọc hiểu: 4 câu – 4 điểm (40%)</w:t>
      </w:r>
    </w:p>
    <w:p>
      <w:pPr>
        <w:spacing w:after="40"/>
      </w:pPr>
      <w:r>
        <w:rPr>
          <w:b w:val="0"/>
          <w:i w:val="0"/>
          <w:sz w:val="22"/>
        </w:rPr>
        <w:t xml:space="preserve">    + Phần II. Viết: 2 câu (6 ý) – 6 điểm (60%)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Câu chuyện và điểm nhìn trong truyện kể; Chủ đề 2 – Cấu tứ và hình ảnh trong thơ trữ tình</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7303"/>
        <w:gridCol w:w="652"/>
        <w:gridCol w:w="652"/>
        <w:gridCol w:w="652"/>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7303"/>
            <w:vMerge w:val="restart"/>
            <w:shd w:val="clear" w:color="auto" w:fill="D9E2F3"/>
          </w:tcPr>
          <w:p>
            <w:pPr>
              <w:spacing w:after="20"/>
              <w:jc w:val="center"/>
            </w:pPr>
            <w:r/>
            <w:r>
              <w:rPr>
                <w:rFonts w:ascii="Times New Roman" w:hAnsi="Times New Roman"/>
                <w:b/>
                <w:sz w:val="18"/>
              </w:rPr>
              <w:t>Đơn vị kiến thức</w:t>
            </w:r>
          </w:p>
        </w:tc>
        <w:tc>
          <w:tcPr>
            <w:tcW w:type="dxa" w:w="3912"/>
            <w:gridSpan w:val="6"/>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7303"/>
            <w:vMerge/>
          </w:tcPr>
          <w:p/>
        </w:tc>
        <w:tc>
          <w:tcPr>
            <w:tcW w:type="dxa" w:w="1956"/>
            <w:gridSpan w:val="3"/>
            <w:shd w:val="clear" w:color="auto" w:fill="D9E2F3"/>
          </w:tcPr>
          <w:p>
            <w:pPr>
              <w:spacing w:after="20"/>
              <w:jc w:val="center"/>
            </w:pPr>
            <w:r/>
            <w:r>
              <w:rPr>
                <w:rFonts w:ascii="Times New Roman" w:hAnsi="Times New Roman"/>
                <w:b/>
                <w:sz w:val="18"/>
              </w:rPr>
              <w:t>Phần I: Đọc hiểu</w:t>
            </w:r>
          </w:p>
        </w:tc>
        <w:tc>
          <w:tcPr>
            <w:tcW w:type="dxa" w:w="1956"/>
            <w:gridSpan w:val="3"/>
            <w:shd w:val="clear" w:color="auto" w:fill="D9E2F3"/>
          </w:tcPr>
          <w:p>
            <w:pPr>
              <w:spacing w:after="20"/>
              <w:jc w:val="center"/>
            </w:pPr>
            <w:r/>
            <w:r>
              <w:rPr>
                <w:rFonts w:ascii="Times New Roman" w:hAnsi="Times New Roman"/>
                <w:b/>
                <w:sz w:val="18"/>
              </w:rPr>
              <w:t>Phần II: Viết (tính theo ý)</w:t>
            </w:r>
          </w:p>
        </w:tc>
        <w:tc>
          <w:tcPr>
            <w:tcW w:type="dxa" w:w="963"/>
            <w:vMerge/>
          </w:tcPr>
          <w:p/>
        </w:tc>
        <w:tc>
          <w:tcPr>
            <w:tcW w:type="dxa" w:w="850"/>
            <w:vMerge/>
          </w:tcPr>
          <w:p/>
        </w:tc>
      </w:tr>
      <w:tr>
        <w:tc>
          <w:tcPr>
            <w:tcW w:type="dxa" w:w="510"/>
            <w:vMerge/>
          </w:tcPr>
          <w:p/>
        </w:tc>
        <w:tc>
          <w:tcPr>
            <w:tcW w:type="dxa" w:w="1600"/>
            <w:vMerge/>
          </w:tcPr>
          <w:p/>
        </w:tc>
        <w:tc>
          <w:tcPr>
            <w:tcW w:type="dxa" w:w="7303"/>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tcPr>
          <w:p>
            <w:pPr>
              <w:spacing w:after="20"/>
              <w:jc w:val="center"/>
            </w:pPr>
            <w:r/>
            <w:r>
              <w:rPr>
                <w:rFonts w:ascii="Times New Roman" w:hAnsi="Times New Roman"/>
                <w:b w:val="0"/>
                <w:sz w:val="18"/>
              </w:rPr>
              <w:t>1</w:t>
            </w:r>
          </w:p>
        </w:tc>
        <w:tc>
          <w:tcPr>
            <w:tcW w:type="dxa" w:w="1600"/>
          </w:tcPr>
          <w:p>
            <w:pPr>
              <w:spacing w:after="20"/>
              <w:jc w:val="left"/>
            </w:pPr>
            <w:r/>
            <w:r>
              <w:rPr>
                <w:rFonts w:ascii="Times New Roman" w:hAnsi="Times New Roman"/>
                <w:b/>
                <w:sz w:val="18"/>
              </w:rPr>
              <w:t>Đọc hiểu</w:t>
            </w:r>
          </w:p>
        </w:tc>
        <w:tc>
          <w:tcPr>
            <w:tcW w:type="dxa" w:w="7303"/>
          </w:tcPr>
          <w:p>
            <w:pPr>
              <w:spacing w:after="20"/>
              <w:jc w:val="left"/>
            </w:pPr>
            <w:r/>
            <w:r>
              <w:rPr>
                <w:rFonts w:ascii="Times New Roman" w:hAnsi="Times New Roman"/>
                <w:b w:val="0"/>
                <w:sz w:val="18"/>
              </w:rPr>
              <w:t>Ngữ liệu ngoài sách giáo khoa: Câu chuyện và điểm nhìn trong truyện kể (truyện ngắn hiện đại); Cấu tứ và hình ảnh trong thơ trữ tình (thơ trữ tình)</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510"/>
            <w:vMerge w:val="restart"/>
          </w:tcPr>
          <w:p>
            <w:pPr>
              <w:spacing w:after="20"/>
              <w:jc w:val="center"/>
            </w:pPr>
            <w:r/>
            <w:r>
              <w:rPr>
                <w:rFonts w:ascii="Times New Roman" w:hAnsi="Times New Roman"/>
                <w:b w:val="0"/>
                <w:sz w:val="18"/>
              </w:rPr>
              <w:t>2</w:t>
            </w:r>
          </w:p>
        </w:tc>
        <w:tc>
          <w:tcPr>
            <w:tcW w:type="dxa" w:w="1600"/>
            <w:vMerge w:val="restart"/>
          </w:tcPr>
          <w:p>
            <w:pPr>
              <w:spacing w:after="20"/>
              <w:jc w:val="left"/>
            </w:pPr>
            <w:r/>
            <w:r>
              <w:rPr>
                <w:rFonts w:ascii="Times New Roman" w:hAnsi="Times New Roman"/>
                <w:b/>
                <w:sz w:val="18"/>
              </w:rPr>
              <w:t>Viết</w:t>
            </w:r>
          </w:p>
        </w:tc>
        <w:tc>
          <w:tcPr>
            <w:tcW w:type="dxa" w:w="7303"/>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20%</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Viết văn bản nghị luận về một tác phẩm truyện (Những đặc điểm trong cách kể của tác giả) hoặc Viết văn bản nghị luận về một tác phẩm thơ (Tìm hiểu cấu tứ và hình ảnh của tác phẩm)</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9413"/>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963"/>
            <w:shd w:val="clear" w:color="auto" w:fill="F2F2F2"/>
          </w:tcPr>
          <w:p>
            <w:pPr>
              <w:spacing w:after="20"/>
              <w:jc w:val="center"/>
            </w:pPr>
            <w:r/>
            <w:r>
              <w:rPr>
                <w:rFonts w:ascii="Times New Roman" w:hAnsi="Times New Roman"/>
                <w:b/>
                <w:sz w:val="18"/>
              </w:rPr>
              <w:t>10</w:t>
            </w:r>
          </w:p>
        </w:tc>
        <w:tc>
          <w:tcPr>
            <w:tcW w:type="dxa" w:w="850"/>
            <w:shd w:val="clear" w:color="auto" w:fill="F2F2F2"/>
          </w:tcPr>
          <w:p>
            <w:pPr>
              <w:spacing w:after="20"/>
              <w:jc w:val="center"/>
            </w:pPr>
            <w:r/>
            <w:r>
              <w:rPr>
                <w:rFonts w:ascii="Times New Roman" w:hAnsi="Times New Roman"/>
                <w:b/>
                <w:sz w:val="18"/>
              </w:rPr>
              <w:t>100%</w:t>
            </w:r>
          </w:p>
        </w:tc>
      </w:tr>
      <w:tr>
        <w:tc>
          <w:tcPr>
            <w:tcW w:type="dxa" w:w="9413"/>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4 điểm</w:t>
            </w:r>
          </w:p>
        </w:tc>
        <w:tc>
          <w:tcPr>
            <w:tcW w:type="dxa" w:w="1956"/>
            <w:gridSpan w:val="3"/>
            <w:shd w:val="clear" w:color="auto" w:fill="F2F2F2"/>
          </w:tcPr>
          <w:p>
            <w:pPr>
              <w:spacing w:after="20"/>
              <w:jc w:val="center"/>
            </w:pPr>
            <w:r/>
            <w:r>
              <w:rPr>
                <w:rFonts w:ascii="Times New Roman" w:hAnsi="Times New Roman"/>
                <w:b/>
                <w:sz w:val="18"/>
              </w:rPr>
              <w:t>6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9413"/>
            <w:gridSpan w:val="3"/>
            <w:shd w:val="clear" w:color="auto" w:fill="F2F2F2"/>
          </w:tcPr>
          <w:p>
            <w:pPr>
              <w:spacing w:after="20"/>
              <w:jc w:val="left"/>
            </w:pPr>
            <w:r/>
            <w:r>
              <w:rPr>
                <w:rFonts w:ascii="Times New Roman" w:hAnsi="Times New Roman"/>
                <w:b/>
                <w:sz w:val="18"/>
              </w:rPr>
              <w:t>Tỉ lệ theo mức độ (NB – TH – VD)</w:t>
            </w:r>
          </w:p>
        </w:tc>
        <w:tc>
          <w:tcPr>
            <w:tcW w:type="dxa" w:w="5725"/>
            <w:gridSpan w:val="8"/>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1,0 điểm. Phần II: câu 1 (đoạn văn) 2,0 điểm, câu 2 (bài văn) 4,0 điểm; điểm phần Viết chia theo mức độ, mỗi ý 1,0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7939"/>
        <w:gridCol w:w="567"/>
        <w:gridCol w:w="567"/>
        <w:gridCol w:w="567"/>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7939"/>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3402"/>
            <w:gridSpan w:val="6"/>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7939"/>
            <w:vMerge/>
          </w:tcPr>
          <w:p/>
        </w:tc>
        <w:tc>
          <w:tcPr>
            <w:tcW w:type="dxa" w:w="1701"/>
            <w:gridSpan w:val="3"/>
            <w:shd w:val="clear" w:color="auto" w:fill="D9E2F3"/>
          </w:tcPr>
          <w:p>
            <w:pPr>
              <w:spacing w:after="20"/>
              <w:jc w:val="center"/>
            </w:pPr>
            <w:r/>
            <w:r>
              <w:rPr>
                <w:rFonts w:ascii="Times New Roman" w:hAnsi="Times New Roman"/>
                <w:b/>
                <w:sz w:val="18"/>
              </w:rPr>
              <w:t>Đọc hiểu</w:t>
            </w:r>
          </w:p>
        </w:tc>
        <w:tc>
          <w:tcPr>
            <w:tcW w:type="dxa" w:w="1701"/>
            <w:gridSpan w:val="3"/>
            <w:shd w:val="clear" w:color="auto" w:fill="D9E2F3"/>
          </w:tcPr>
          <w:p>
            <w:pPr>
              <w:spacing w:after="20"/>
              <w:jc w:val="center"/>
            </w:pPr>
            <w:r/>
            <w:r>
              <w:rPr>
                <w:rFonts w:ascii="Times New Roman" w:hAnsi="Times New Roman"/>
                <w:b/>
                <w:sz w:val="18"/>
              </w:rPr>
              <w:t>Viết (ý)</w:t>
            </w:r>
          </w:p>
        </w:tc>
      </w:tr>
      <w:tr>
        <w:tc>
          <w:tcPr>
            <w:tcW w:type="dxa" w:w="510"/>
            <w:vMerge/>
          </w:tcPr>
          <w:p/>
        </w:tc>
        <w:tc>
          <w:tcPr>
            <w:tcW w:type="dxa" w:w="1360"/>
            <w:vMerge/>
          </w:tcPr>
          <w:p/>
        </w:tc>
        <w:tc>
          <w:tcPr>
            <w:tcW w:type="dxa" w:w="1927"/>
            <w:vMerge/>
          </w:tcPr>
          <w:p/>
        </w:tc>
        <w:tc>
          <w:tcPr>
            <w:tcW w:type="dxa" w:w="7939"/>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tcPr>
          <w:p>
            <w:pPr>
              <w:spacing w:after="20"/>
              <w:jc w:val="center"/>
            </w:pPr>
            <w:r/>
            <w:r>
              <w:rPr>
                <w:rFonts w:ascii="Times New Roman" w:hAnsi="Times New Roman"/>
                <w:b w:val="0"/>
                <w:sz w:val="18"/>
              </w:rPr>
              <w:t>1</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Ngữ liệu ngoài sách giáo khoa: Câu chuyện và điểm nhìn trong truyện kể (truyện ngắn hiện đại); Cấu tứ và hình ảnh trong thơ trữ tình (thơ trữ tình)</w:t>
            </w:r>
          </w:p>
        </w:tc>
        <w:tc>
          <w:tcPr>
            <w:tcW w:type="dxa" w:w="7939"/>
          </w:tcPr>
          <w:p>
            <w:r/>
            <w:r>
              <w:rPr>
                <w:b/>
                <w:sz w:val="18"/>
              </w:rPr>
              <w:t>Nhận biết:</w:t>
            </w:r>
          </w:p>
          <w:p>
            <w:pPr>
              <w:spacing w:after="0"/>
            </w:pPr>
            <w:r>
              <w:rPr>
                <w:sz w:val="18"/>
              </w:rPr>
              <w:t>- Nhận biết được ngôi kể, người kể chuyện, chi tiết tiêu biểu, nhân vật, sự việc trong văn bản truyện ngắn hiện đại.</w:t>
            </w:r>
          </w:p>
          <w:p>
            <w:pPr>
              <w:spacing w:after="0"/>
            </w:pPr>
            <w:r>
              <w:rPr>
                <w:sz w:val="18"/>
              </w:rPr>
              <w:t>- Nhận biết được thể thơ, vần, nhịp, hình ảnh, từ ngữ và biện pháp tu từ trong thơ trữ tình.</w:t>
            </w:r>
          </w:p>
          <w:p>
            <w:r>
              <w:rPr>
                <w:b/>
                <w:sz w:val="18"/>
              </w:rPr>
              <w:t>Thông hiểu:</w:t>
            </w:r>
          </w:p>
          <w:p>
            <w:pPr>
              <w:spacing w:after="0"/>
            </w:pPr>
            <w:r>
              <w:rPr>
                <w:sz w:val="18"/>
              </w:rPr>
              <w:t>- Tóm tắt được nội dung chính; nêu được chủ đề, thông điệp của văn bản.</w:t>
            </w:r>
          </w:p>
          <w:p>
            <w:pPr>
              <w:spacing w:after="0"/>
            </w:pPr>
            <w:r>
              <w:rPr>
                <w:sz w:val="18"/>
              </w:rPr>
              <w:t>- Phân tích được đặc điểm nhân vật và tác dụng của chi tiết, cách kể chuyện.</w:t>
            </w:r>
          </w:p>
          <w:p>
            <w:pPr>
              <w:spacing w:after="0"/>
            </w:pPr>
            <w:r>
              <w:rPr>
                <w:sz w:val="18"/>
              </w:rPr>
              <w:t>- Hiểu được tình cảm, cảm xúc của chủ thể trữ tình; nêu được chủ đề, thông điệp của bài thơ.</w:t>
            </w:r>
          </w:p>
          <w:p>
            <w:pPr>
              <w:spacing w:after="0"/>
            </w:pPr>
            <w:r>
              <w:rPr>
                <w:sz w:val="18"/>
              </w:rPr>
              <w:t>- Phân tích được tác dụng của các yếu tố hình thức (thể thơ, hình ảnh, biện pháp tu từ).</w:t>
            </w:r>
          </w:p>
          <w:p>
            <w:pPr>
              <w:spacing w:after="0"/>
            </w:pPr>
            <w:r>
              <w:rPr>
                <w:sz w:val="18"/>
              </w:rPr>
              <w:t>- Nêu được tác dụng của đặc điểm cơ bản của ngôn ngữ nói và ngôn ngữ viết; một số hiện tượng phá vỡ những quy tắc ngôn ngữ thông thường: đặc điểm và tác dụng trong văn bản.</w:t>
            </w:r>
          </w:p>
          <w:p>
            <w:r>
              <w:rPr>
                <w:b/>
                <w:sz w:val="18"/>
              </w:rPr>
              <w:t>Vận dụng:</w:t>
            </w:r>
          </w:p>
          <w:p>
            <w:pPr>
              <w:spacing w:after="0"/>
            </w:pPr>
            <w:r>
              <w:rPr>
                <w:sz w:val="18"/>
              </w:rPr>
              <w:t>- Nêu được bài học về cách nghĩ, cách ứng xử gợi ra từ văn bản; liên hệ với trải nghiệm của bản thân.</w:t>
            </w:r>
          </w:p>
          <w:p>
            <w:pPr>
              <w:spacing w:after="0"/>
            </w:pPr>
            <w:r>
              <w:rPr>
                <w:sz w:val="18"/>
              </w:rPr>
              <w:t>- Trình bày được cảm nhận, suy nghĩ của bản thân về một chi tiết, hình ảnh hoặc thông điệp của bài thơ.</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val="restart"/>
          </w:tcPr>
          <w:p>
            <w:pPr>
              <w:spacing w:after="20"/>
              <w:jc w:val="center"/>
            </w:pPr>
            <w:r/>
            <w:r>
              <w:rPr>
                <w:rFonts w:ascii="Times New Roman" w:hAnsi="Times New Roman"/>
                <w:b w:val="0"/>
                <w:sz w:val="18"/>
              </w:rPr>
              <w:t>2</w:t>
            </w:r>
          </w:p>
        </w:tc>
        <w:tc>
          <w:tcPr>
            <w:tcW w:type="dxa" w:w="1360"/>
            <w:vMerge w:val="restart"/>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7939"/>
          </w:tcPr>
          <w:p>
            <w:r/>
            <w:r>
              <w:rPr>
                <w:b/>
                <w:sz w:val="18"/>
              </w:rPr>
              <w:t>Thông hiểu:</w:t>
            </w:r>
          </w:p>
          <w:p>
            <w:pPr>
              <w:spacing w:after="0"/>
            </w:pPr>
            <w:r>
              <w:rPr>
                <w:sz w:val="18"/>
              </w:rPr>
              <w:t>- Giải thích được vấn đề; trình bày ý kiến bằng lí lẽ và bằng chứng xác thực.</w:t>
            </w:r>
          </w:p>
          <w:p>
            <w:r>
              <w:rPr>
                <w:b/>
                <w:sz w:val="18"/>
              </w:rPr>
              <w:t>Vận dụng:</w:t>
            </w:r>
          </w:p>
          <w:p>
            <w:pPr>
              <w:spacing w:after="0"/>
            </w:pPr>
            <w:r>
              <w:rPr>
                <w:sz w:val="18"/>
              </w:rPr>
              <w:t>- Đề xuất được giải pháp hoặc bài học phù hợp; diễn đạt mạch lạc, có sức thuyết phục.</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Viết văn bản nghị luận về một tác phẩm truyện (Những đặc điểm trong cách kể của tác giả) hoặc Viết văn bản nghị luận về một tác phẩm thơ (Tìm hiểu cấu tứ và hình ảnh của tác phẩm)</w:t>
            </w:r>
          </w:p>
        </w:tc>
        <w:tc>
          <w:tcPr>
            <w:tcW w:type="dxa" w:w="7939"/>
          </w:tcPr>
          <w:p>
            <w:r/>
            <w:r>
              <w:rPr>
                <w:b/>
                <w:sz w:val="18"/>
              </w:rPr>
              <w:t>Nhận biết:</w:t>
            </w:r>
          </w:p>
          <w:p>
            <w:pPr>
              <w:spacing w:after="0"/>
            </w:pPr>
            <w:r>
              <w:rPr>
                <w:sz w:val="18"/>
              </w:rPr>
              <w:t>- Xác định được yêu cầu của đề, tác phẩm cần bàn; bảo đảm bố cục bài văn nghị luận.</w:t>
            </w:r>
          </w:p>
          <w:p>
            <w:r>
              <w:rPr>
                <w:b/>
                <w:sz w:val="18"/>
              </w:rPr>
              <w:t>Thông hiểu:</w:t>
            </w:r>
          </w:p>
          <w:p>
            <w:pPr>
              <w:spacing w:after="0"/>
            </w:pPr>
            <w:r>
              <w:rPr>
                <w:sz w:val="18"/>
              </w:rPr>
              <w:t>- Phân tích được chủ đề và những nét đặc sắc về nội dung, nghệ thuật, có dẫn chứng từ tác phẩm.</w:t>
            </w:r>
          </w:p>
          <w:p>
            <w:r>
              <w:rPr>
                <w:b/>
                <w:sz w:val="18"/>
              </w:rPr>
              <w:t>Vận dụng:</w:t>
            </w:r>
          </w:p>
          <w:p>
            <w:pPr>
              <w:spacing w:after="0"/>
            </w:pPr>
            <w:r>
              <w:rPr>
                <w:sz w:val="18"/>
              </w:rPr>
              <w:t>- Viết được bài văn mạch lạc, lập luận thuyết phục; nêu được đánh giá, cảm nhận riêng.</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smarttest.vn/vi/ma-tran-de-kiem-tra/lop-11/ngu-van/giua-ki-1</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1/ngu-van/giua-k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giữa học kì i Ngữ văn 11</dc:title>
  <dc:subject>Ngữ văn 11 – Kết nối tri thức</dc:subject>
  <dc:creator>SmartTest</dc:creator>
  <cp:keywords>ma trận đề kiểm tra, bản đặc tả, ngữ văn 11, giữa học kì i</cp:keywords>
  <dc:description/>
  <cp:lastModifiedBy>SmartTest</cp:lastModifiedBy>
  <cp:revision>1</cp:revision>
  <dcterms:created xsi:type="dcterms:W3CDTF">2026-10-30T05:28:15Z</dcterms:created>
  <dcterms:modified xsi:type="dcterms:W3CDTF">2026-10-30T05:28:15Z</dcterms:modified>
  <cp:category/>
</cp:coreProperties>
</file>