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sz w:val="26"/>
        </w:rPr>
        <w:t>MA TRẬN VÀ ĐẶC TẢ ĐỀ KIỂM TRA CUỐI HỌC KÌ II – NĂM HỌC 2026-2027</w:t>
      </w:r>
    </w:p>
    <w:p>
      <w:pPr>
        <w:spacing w:after="40"/>
        <w:jc w:val="center"/>
      </w:pPr>
      <w:r>
        <w:rPr>
          <w:b/>
          <w:i w:val="0"/>
          <w:sz w:val="26"/>
        </w:rPr>
        <w:t>MÔN: GD KINH TẾ VÀ PHÁP LUẬT 12</w:t>
      </w:r>
    </w:p>
    <w:p>
      <w:pPr>
        <w:spacing w:after="40"/>
        <w:jc w:val="center"/>
      </w:pPr>
      <w:r>
        <w:rPr>
          <w:b w:val="0"/>
          <w:i/>
          <w:color w:val="C00000"/>
          <w:sz w:val="18"/>
        </w:rPr>
        <w:t>Tài liệu tham khảo – theo Chương trình GDPT 2018, sách Kết nối tri thức với cuộc sống; tổ chuyên môn điều chỉnh theo phân phối chương trình của nhà trường.</w:t>
      </w:r>
    </w:p>
    <w:p>
      <w:pPr>
        <w:spacing w:after="40"/>
      </w:pPr>
      <w:r>
        <w:rPr>
          <w:b w:val="0"/>
          <w:i w:val="0"/>
          <w:sz w:val="22"/>
        </w:rPr>
        <w:t>- Thời điểm kiểm tra: Cuối học kì II</w:t>
      </w:r>
    </w:p>
    <w:p>
      <w:pPr>
        <w:spacing w:after="40"/>
      </w:pPr>
      <w:r>
        <w:rPr>
          <w:b w:val="0"/>
          <w:i w:val="0"/>
          <w:sz w:val="22"/>
        </w:rPr>
        <w:t>- Thời gian làm bài: 50 phút</w:t>
      </w:r>
    </w:p>
    <w:p>
      <w:pPr>
        <w:spacing w:after="40"/>
      </w:pPr>
      <w:r>
        <w:rPr>
          <w:b w:val="0"/>
          <w:i w:val="0"/>
          <w:sz w:val="22"/>
        </w:rPr>
        <w:t>- Hình thức kiểm tra: trắc nghiệm 2 dạng thức</w:t>
      </w:r>
    </w:p>
    <w:p>
      <w:pPr>
        <w:spacing w:after="40"/>
      </w:pPr>
      <w:r>
        <w:rPr>
          <w:b w:val="0"/>
          <w:i w:val="0"/>
          <w:sz w:val="22"/>
        </w:rPr>
        <w:t>- Cấu trúc:</w:t>
      </w:r>
    </w:p>
    <w:p>
      <w:pPr>
        <w:spacing w:after="40"/>
      </w:pPr>
      <w:r>
        <w:rPr>
          <w:b w:val="0"/>
          <w:i w:val="0"/>
          <w:sz w:val="22"/>
        </w:rPr>
        <w:t xml:space="preserve">    + Phần I. Trắc nghiệm nhiều phương án lựa chọn: 24 câu – 6 điểm (60%)</w:t>
      </w:r>
    </w:p>
    <w:p>
      <w:pPr>
        <w:spacing w:after="40"/>
      </w:pPr>
      <w:r>
        <w:rPr>
          <w:b w:val="0"/>
          <w:i w:val="0"/>
          <w:sz w:val="22"/>
        </w:rPr>
        <w:t xml:space="preserve">    + Phần II. Trắc nghiệm đúng/sai: 4 câu (16 ý) – 4 điểm (40%)</w:t>
      </w:r>
    </w:p>
    <w:p>
      <w:pPr>
        <w:spacing w:after="40"/>
      </w:pPr>
      <w:r>
        <w:rPr>
          <w:b w:val="0"/>
          <w:i w:val="0"/>
          <w:sz w:val="22"/>
        </w:rPr>
        <w:t>- Mức độ nhận thức: Nhận biết 40% – Thông hiểu 30% – Vận dụng 30%</w:t>
      </w:r>
    </w:p>
    <w:p>
      <w:pPr>
        <w:spacing w:after="40"/>
      </w:pPr>
      <w:r>
        <w:rPr>
          <w:b w:val="0"/>
          <w:i w:val="0"/>
          <w:sz w:val="22"/>
        </w:rPr>
        <w:t>- Phạm vi nội dung: Chủ đề 1 – Một số quyền và nghĩa vụ của công dân về kinh tế; Chủ đề 2 – Quyền và nghĩa vụ của công dân về văn hoá, xã hội; Chủ đề 3 – Một số vấn đề cơ bản của luật quốc tế</w:t>
      </w:r>
    </w:p>
    <w:p>
      <w:pPr>
        <w:spacing w:after="40"/>
      </w:pPr>
      <w:r>
        <w:rPr>
          <w:b/>
          <w:i w:val="0"/>
          <w:sz w:val="22"/>
        </w:rPr>
        <w:t>I. MA TRẬN</w:t>
      </w:r>
    </w:p>
    <w:tbl>
      <w:tblPr>
        <w:tblStyle w:val="TableGrid"/>
        <w:tblW w:type="auto" w:w="0"/>
        <w:jc w:val="center"/>
        <w:tblLook w:firstColumn="1" w:firstRow="1" w:lastColumn="0" w:lastRow="0" w:noHBand="0" w:noVBand="1" w:val="04A0"/>
      </w:tblPr>
      <w:tblGrid>
        <w:gridCol w:w="510"/>
        <w:gridCol w:w="1600"/>
        <w:gridCol w:w="7303"/>
        <w:gridCol w:w="652"/>
        <w:gridCol w:w="652"/>
        <w:gridCol w:w="652"/>
        <w:gridCol w:w="652"/>
        <w:gridCol w:w="652"/>
        <w:gridCol w:w="652"/>
        <w:gridCol w:w="963"/>
        <w:gridCol w:w="850"/>
      </w:tblGrid>
      <w:tr>
        <w:tc>
          <w:tcPr>
            <w:tcW w:type="dxa" w:w="510"/>
            <w:vMerge w:val="restart"/>
            <w:shd w:val="clear" w:color="auto" w:fill="D9E2F3"/>
          </w:tcPr>
          <w:p>
            <w:pPr>
              <w:spacing w:after="20"/>
              <w:jc w:val="center"/>
            </w:pPr>
            <w:r/>
            <w:r>
              <w:rPr>
                <w:rFonts w:ascii="Times New Roman" w:hAnsi="Times New Roman"/>
                <w:b/>
                <w:sz w:val="18"/>
              </w:rPr>
              <w:t>TT</w:t>
            </w:r>
          </w:p>
        </w:tc>
        <w:tc>
          <w:tcPr>
            <w:tcW w:type="dxa" w:w="1600"/>
            <w:vMerge w:val="restart"/>
            <w:shd w:val="clear" w:color="auto" w:fill="D9E2F3"/>
          </w:tcPr>
          <w:p>
            <w:pPr>
              <w:spacing w:after="20"/>
              <w:jc w:val="center"/>
            </w:pPr>
            <w:r/>
            <w:r>
              <w:rPr>
                <w:rFonts w:ascii="Times New Roman" w:hAnsi="Times New Roman"/>
                <w:b/>
                <w:sz w:val="18"/>
              </w:rPr>
              <w:t>Nội dung kiến thức</w:t>
            </w:r>
          </w:p>
        </w:tc>
        <w:tc>
          <w:tcPr>
            <w:tcW w:type="dxa" w:w="7303"/>
            <w:vMerge w:val="restart"/>
            <w:shd w:val="clear" w:color="auto" w:fill="D9E2F3"/>
          </w:tcPr>
          <w:p>
            <w:pPr>
              <w:spacing w:after="20"/>
              <w:jc w:val="center"/>
            </w:pPr>
            <w:r/>
            <w:r>
              <w:rPr>
                <w:rFonts w:ascii="Times New Roman" w:hAnsi="Times New Roman"/>
                <w:b/>
                <w:sz w:val="18"/>
              </w:rPr>
              <w:t>Đơn vị kiến thức</w:t>
            </w:r>
          </w:p>
        </w:tc>
        <w:tc>
          <w:tcPr>
            <w:tcW w:type="dxa" w:w="3912"/>
            <w:gridSpan w:val="6"/>
            <w:shd w:val="clear" w:color="auto" w:fill="D9E2F3"/>
          </w:tcPr>
          <w:p>
            <w:pPr>
              <w:spacing w:after="20"/>
              <w:jc w:val="center"/>
            </w:pPr>
            <w:r/>
            <w:r>
              <w:rPr>
                <w:rFonts w:ascii="Times New Roman" w:hAnsi="Times New Roman"/>
                <w:b/>
                <w:sz w:val="18"/>
              </w:rPr>
              <w:t>Số câu hỏi theo mức độ nhận thức</w:t>
            </w:r>
          </w:p>
        </w:tc>
        <w:tc>
          <w:tcPr>
            <w:tcW w:type="dxa" w:w="963"/>
            <w:vMerge w:val="restart"/>
            <w:shd w:val="clear" w:color="auto" w:fill="D9E2F3"/>
          </w:tcPr>
          <w:p>
            <w:pPr>
              <w:spacing w:after="20"/>
              <w:jc w:val="center"/>
            </w:pPr>
            <w:r/>
            <w:r>
              <w:rPr>
                <w:rFonts w:ascii="Times New Roman" w:hAnsi="Times New Roman"/>
                <w:b/>
                <w:sz w:val="18"/>
              </w:rPr>
              <w:t>Tổng</w:t>
              <w:br/>
              <w:t>số câu/ý</w:t>
            </w:r>
          </w:p>
        </w:tc>
        <w:tc>
          <w:tcPr>
            <w:tcW w:type="dxa" w:w="850"/>
            <w:vMerge w:val="restart"/>
            <w:shd w:val="clear" w:color="auto" w:fill="D9E2F3"/>
          </w:tcPr>
          <w:p>
            <w:pPr>
              <w:spacing w:after="20"/>
              <w:jc w:val="center"/>
            </w:pPr>
            <w:r/>
            <w:r>
              <w:rPr>
                <w:rFonts w:ascii="Times New Roman" w:hAnsi="Times New Roman"/>
                <w:b/>
                <w:sz w:val="18"/>
              </w:rPr>
              <w:t>Tỉ lệ</w:t>
              <w:br/>
              <w:t>(%)</w:t>
            </w:r>
          </w:p>
        </w:tc>
      </w:tr>
      <w:tr>
        <w:tc>
          <w:tcPr>
            <w:tcW w:type="dxa" w:w="510"/>
            <w:vMerge/>
          </w:tcPr>
          <w:p/>
        </w:tc>
        <w:tc>
          <w:tcPr>
            <w:tcW w:type="dxa" w:w="1600"/>
            <w:vMerge/>
          </w:tcPr>
          <w:p/>
        </w:tc>
        <w:tc>
          <w:tcPr>
            <w:tcW w:type="dxa" w:w="7303"/>
            <w:vMerge/>
          </w:tcPr>
          <w:p/>
        </w:tc>
        <w:tc>
          <w:tcPr>
            <w:tcW w:type="dxa" w:w="1956"/>
            <w:gridSpan w:val="3"/>
            <w:shd w:val="clear" w:color="auto" w:fill="D9E2F3"/>
          </w:tcPr>
          <w:p>
            <w:pPr>
              <w:spacing w:after="20"/>
              <w:jc w:val="center"/>
            </w:pPr>
            <w:r/>
            <w:r>
              <w:rPr>
                <w:rFonts w:ascii="Times New Roman" w:hAnsi="Times New Roman"/>
                <w:b/>
                <w:sz w:val="18"/>
              </w:rPr>
              <w:t>Phần I: TN nhiều phương án lựa chọn</w:t>
            </w:r>
          </w:p>
        </w:tc>
        <w:tc>
          <w:tcPr>
            <w:tcW w:type="dxa" w:w="1956"/>
            <w:gridSpan w:val="3"/>
            <w:shd w:val="clear" w:color="auto" w:fill="D9E2F3"/>
          </w:tcPr>
          <w:p>
            <w:pPr>
              <w:spacing w:after="20"/>
              <w:jc w:val="center"/>
            </w:pPr>
            <w:r/>
            <w:r>
              <w:rPr>
                <w:rFonts w:ascii="Times New Roman" w:hAnsi="Times New Roman"/>
                <w:b/>
                <w:sz w:val="18"/>
              </w:rPr>
              <w:t>Phần II: TN đúng/sai (tính theo ý)</w:t>
            </w:r>
          </w:p>
        </w:tc>
        <w:tc>
          <w:tcPr>
            <w:tcW w:type="dxa" w:w="963"/>
            <w:vMerge/>
          </w:tcPr>
          <w:p/>
        </w:tc>
        <w:tc>
          <w:tcPr>
            <w:tcW w:type="dxa" w:w="850"/>
            <w:vMerge/>
          </w:tcPr>
          <w:p/>
        </w:tc>
      </w:tr>
      <w:tr>
        <w:tc>
          <w:tcPr>
            <w:tcW w:type="dxa" w:w="510"/>
            <w:vMerge/>
          </w:tcPr>
          <w:p/>
        </w:tc>
        <w:tc>
          <w:tcPr>
            <w:tcW w:type="dxa" w:w="1600"/>
            <w:vMerge/>
          </w:tcPr>
          <w:p/>
        </w:tc>
        <w:tc>
          <w:tcPr>
            <w:tcW w:type="dxa" w:w="7303"/>
            <w:vMerge/>
          </w:tcPr>
          <w:p/>
        </w:tc>
        <w:tc>
          <w:tcPr>
            <w:tcW w:type="dxa" w:w="652"/>
            <w:shd w:val="clear" w:color="auto" w:fill="D9E2F3"/>
          </w:tcPr>
          <w:p>
            <w:pPr>
              <w:spacing w:after="20"/>
              <w:jc w:val="center"/>
            </w:pPr>
            <w:r/>
            <w:r>
              <w:rPr>
                <w:rFonts w:ascii="Times New Roman" w:hAnsi="Times New Roman"/>
                <w:b/>
                <w:sz w:val="18"/>
              </w:rPr>
              <w:t>NB</w:t>
            </w:r>
          </w:p>
        </w:tc>
        <w:tc>
          <w:tcPr>
            <w:tcW w:type="dxa" w:w="652"/>
            <w:shd w:val="clear" w:color="auto" w:fill="D9E2F3"/>
          </w:tcPr>
          <w:p>
            <w:pPr>
              <w:spacing w:after="20"/>
              <w:jc w:val="center"/>
            </w:pPr>
            <w:r/>
            <w:r>
              <w:rPr>
                <w:rFonts w:ascii="Times New Roman" w:hAnsi="Times New Roman"/>
                <w:b/>
                <w:sz w:val="18"/>
              </w:rPr>
              <w:t>TH</w:t>
            </w:r>
          </w:p>
        </w:tc>
        <w:tc>
          <w:tcPr>
            <w:tcW w:type="dxa" w:w="652"/>
            <w:shd w:val="clear" w:color="auto" w:fill="D9E2F3"/>
          </w:tcPr>
          <w:p>
            <w:pPr>
              <w:spacing w:after="20"/>
              <w:jc w:val="center"/>
            </w:pPr>
            <w:r/>
            <w:r>
              <w:rPr>
                <w:rFonts w:ascii="Times New Roman" w:hAnsi="Times New Roman"/>
                <w:b/>
                <w:sz w:val="18"/>
              </w:rPr>
              <w:t>VD</w:t>
            </w:r>
          </w:p>
        </w:tc>
        <w:tc>
          <w:tcPr>
            <w:tcW w:type="dxa" w:w="652"/>
            <w:shd w:val="clear" w:color="auto" w:fill="D9E2F3"/>
          </w:tcPr>
          <w:p>
            <w:pPr>
              <w:spacing w:after="20"/>
              <w:jc w:val="center"/>
            </w:pPr>
            <w:r/>
            <w:r>
              <w:rPr>
                <w:rFonts w:ascii="Times New Roman" w:hAnsi="Times New Roman"/>
                <w:b/>
                <w:sz w:val="18"/>
              </w:rPr>
              <w:t>NB</w:t>
            </w:r>
          </w:p>
        </w:tc>
        <w:tc>
          <w:tcPr>
            <w:tcW w:type="dxa" w:w="652"/>
            <w:shd w:val="clear" w:color="auto" w:fill="D9E2F3"/>
          </w:tcPr>
          <w:p>
            <w:pPr>
              <w:spacing w:after="20"/>
              <w:jc w:val="center"/>
            </w:pPr>
            <w:r/>
            <w:r>
              <w:rPr>
                <w:rFonts w:ascii="Times New Roman" w:hAnsi="Times New Roman"/>
                <w:b/>
                <w:sz w:val="18"/>
              </w:rPr>
              <w:t>TH</w:t>
            </w:r>
          </w:p>
        </w:tc>
        <w:tc>
          <w:tcPr>
            <w:tcW w:type="dxa" w:w="652"/>
            <w:shd w:val="clear" w:color="auto" w:fill="D9E2F3"/>
          </w:tcPr>
          <w:p>
            <w:pPr>
              <w:spacing w:after="20"/>
              <w:jc w:val="center"/>
            </w:pPr>
            <w:r/>
            <w:r>
              <w:rPr>
                <w:rFonts w:ascii="Times New Roman" w:hAnsi="Times New Roman"/>
                <w:b/>
                <w:sz w:val="18"/>
              </w:rPr>
              <w:t>VD</w:t>
            </w:r>
          </w:p>
        </w:tc>
        <w:tc>
          <w:tcPr>
            <w:tcW w:type="dxa" w:w="963"/>
            <w:vMerge/>
          </w:tcPr>
          <w:p/>
        </w:tc>
        <w:tc>
          <w:tcPr>
            <w:tcW w:type="dxa" w:w="850"/>
            <w:vMerge/>
          </w:tcPr>
          <w:p/>
        </w:tc>
      </w:tr>
      <w:tr>
        <w:tc>
          <w:tcPr>
            <w:tcW w:type="dxa" w:w="510"/>
            <w:vMerge w:val="restart"/>
          </w:tcPr>
          <w:p>
            <w:pPr>
              <w:spacing w:after="20"/>
              <w:jc w:val="center"/>
            </w:pPr>
            <w:r/>
            <w:r>
              <w:rPr>
                <w:rFonts w:ascii="Times New Roman" w:hAnsi="Times New Roman"/>
                <w:b w:val="0"/>
                <w:sz w:val="18"/>
              </w:rPr>
              <w:t>1</w:t>
            </w:r>
          </w:p>
        </w:tc>
        <w:tc>
          <w:tcPr>
            <w:tcW w:type="dxa" w:w="1600"/>
            <w:vMerge w:val="restart"/>
          </w:tcPr>
          <w:p>
            <w:pPr>
              <w:spacing w:after="20"/>
              <w:jc w:val="left"/>
            </w:pPr>
            <w:r/>
            <w:r>
              <w:rPr>
                <w:rFonts w:ascii="Times New Roman" w:hAnsi="Times New Roman"/>
                <w:b/>
                <w:sz w:val="18"/>
              </w:rPr>
              <w:t>Một số quyền và nghĩa vụ của công dân về kinh tế</w:t>
            </w:r>
          </w:p>
        </w:tc>
        <w:tc>
          <w:tcPr>
            <w:tcW w:type="dxa" w:w="7303"/>
          </w:tcPr>
          <w:p>
            <w:pPr>
              <w:spacing w:after="20"/>
              <w:jc w:val="left"/>
            </w:pPr>
            <w:r/>
            <w:r>
              <w:rPr>
                <w:rFonts w:ascii="Times New Roman" w:hAnsi="Times New Roman"/>
                <w:b w:val="0"/>
                <w:sz w:val="18"/>
              </w:rPr>
              <w:t>Quyền và nghĩa vụ của công dân về kinh doanh và nộp thuế</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2</w:t>
            </w:r>
          </w:p>
        </w:tc>
        <w:tc>
          <w:tcPr>
            <w:tcW w:type="dxa" w:w="850"/>
          </w:tcPr>
          <w:p>
            <w:pPr>
              <w:spacing w:after="20"/>
              <w:jc w:val="center"/>
            </w:pPr>
            <w:r/>
            <w:r>
              <w:rPr>
                <w:rFonts w:ascii="Times New Roman" w:hAnsi="Times New Roman"/>
                <w:b w:val="0"/>
                <w:sz w:val="18"/>
              </w:rPr>
              <w:t>5%</w:t>
            </w:r>
          </w:p>
        </w:tc>
      </w:tr>
      <w:tr>
        <w:tc>
          <w:tcPr>
            <w:tcW w:type="dxa" w:w="510"/>
            <w:vMerge/>
          </w:tcPr>
          <w:p/>
        </w:tc>
        <w:tc>
          <w:tcPr>
            <w:tcW w:type="dxa" w:w="1600"/>
            <w:vMerge/>
          </w:tcPr>
          <w:p/>
        </w:tc>
        <w:tc>
          <w:tcPr>
            <w:tcW w:type="dxa" w:w="7303"/>
          </w:tcPr>
          <w:p>
            <w:pPr>
              <w:spacing w:after="20"/>
              <w:jc w:val="left"/>
            </w:pPr>
            <w:r/>
            <w:r>
              <w:rPr>
                <w:rFonts w:ascii="Times New Roman" w:hAnsi="Times New Roman"/>
                <w:b w:val="0"/>
                <w:sz w:val="18"/>
              </w:rPr>
              <w:t>Quyền và nghĩa vụ của công dân về sở hữu tài sản và tôn trọng tài sản của người khác</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2</w:t>
            </w:r>
          </w:p>
        </w:tc>
        <w:tc>
          <w:tcPr>
            <w:tcW w:type="dxa" w:w="850"/>
          </w:tcPr>
          <w:p>
            <w:pPr>
              <w:spacing w:after="20"/>
              <w:jc w:val="center"/>
            </w:pPr>
            <w:r/>
            <w:r>
              <w:rPr>
                <w:rFonts w:ascii="Times New Roman" w:hAnsi="Times New Roman"/>
                <w:b w:val="0"/>
                <w:sz w:val="18"/>
              </w:rPr>
              <w:t>5%</w:t>
            </w:r>
          </w:p>
        </w:tc>
      </w:tr>
      <w:tr>
        <w:tc>
          <w:tcPr>
            <w:tcW w:type="dxa" w:w="510"/>
            <w:vMerge w:val="restart"/>
          </w:tcPr>
          <w:p>
            <w:pPr>
              <w:spacing w:after="20"/>
              <w:jc w:val="center"/>
            </w:pPr>
            <w:r/>
            <w:r>
              <w:rPr>
                <w:rFonts w:ascii="Times New Roman" w:hAnsi="Times New Roman"/>
                <w:b w:val="0"/>
                <w:sz w:val="18"/>
              </w:rPr>
              <w:t>2</w:t>
            </w:r>
          </w:p>
        </w:tc>
        <w:tc>
          <w:tcPr>
            <w:tcW w:type="dxa" w:w="1600"/>
            <w:vMerge w:val="restart"/>
          </w:tcPr>
          <w:p>
            <w:pPr>
              <w:spacing w:after="20"/>
              <w:jc w:val="left"/>
            </w:pPr>
            <w:r/>
            <w:r>
              <w:rPr>
                <w:rFonts w:ascii="Times New Roman" w:hAnsi="Times New Roman"/>
                <w:b/>
                <w:sz w:val="18"/>
              </w:rPr>
              <w:t>Quyền và nghĩa vụ của công dân về văn hoá, xã hội</w:t>
            </w:r>
          </w:p>
        </w:tc>
        <w:tc>
          <w:tcPr>
            <w:tcW w:type="dxa" w:w="7303"/>
          </w:tcPr>
          <w:p>
            <w:pPr>
              <w:spacing w:after="20"/>
              <w:jc w:val="left"/>
            </w:pPr>
            <w:r/>
            <w:r>
              <w:rPr>
                <w:rFonts w:ascii="Times New Roman" w:hAnsi="Times New Roman"/>
                <w:b w:val="0"/>
                <w:sz w:val="18"/>
              </w:rPr>
              <w:t>Quyền và nghĩa vụ của công dân trong hôn nhân và gia đình</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6</w:t>
            </w:r>
          </w:p>
        </w:tc>
        <w:tc>
          <w:tcPr>
            <w:tcW w:type="dxa" w:w="850"/>
          </w:tcPr>
          <w:p>
            <w:pPr>
              <w:spacing w:after="20"/>
              <w:jc w:val="center"/>
            </w:pPr>
            <w:r/>
            <w:r>
              <w:rPr>
                <w:rFonts w:ascii="Times New Roman" w:hAnsi="Times New Roman"/>
                <w:b w:val="0"/>
                <w:sz w:val="18"/>
              </w:rPr>
              <w:t>15%</w:t>
            </w:r>
          </w:p>
        </w:tc>
      </w:tr>
      <w:tr>
        <w:tc>
          <w:tcPr>
            <w:tcW w:type="dxa" w:w="510"/>
            <w:vMerge/>
          </w:tcPr>
          <w:p/>
        </w:tc>
        <w:tc>
          <w:tcPr>
            <w:tcW w:type="dxa" w:w="1600"/>
            <w:vMerge/>
          </w:tcPr>
          <w:p/>
        </w:tc>
        <w:tc>
          <w:tcPr>
            <w:tcW w:type="dxa" w:w="7303"/>
          </w:tcPr>
          <w:p>
            <w:pPr>
              <w:spacing w:after="20"/>
              <w:jc w:val="left"/>
            </w:pPr>
            <w:r/>
            <w:r>
              <w:rPr>
                <w:rFonts w:ascii="Times New Roman" w:hAnsi="Times New Roman"/>
                <w:b w:val="0"/>
                <w:sz w:val="18"/>
              </w:rPr>
              <w:t>Quyền và nghĩa vụ của công dân trong học tập</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2</w:t>
            </w:r>
          </w:p>
        </w:tc>
        <w:tc>
          <w:tcPr>
            <w:tcW w:type="dxa" w:w="850"/>
          </w:tcPr>
          <w:p>
            <w:pPr>
              <w:spacing w:after="20"/>
              <w:jc w:val="center"/>
            </w:pPr>
            <w:r/>
            <w:r>
              <w:rPr>
                <w:rFonts w:ascii="Times New Roman" w:hAnsi="Times New Roman"/>
                <w:b w:val="0"/>
                <w:sz w:val="18"/>
              </w:rPr>
              <w:t>5%</w:t>
            </w:r>
          </w:p>
        </w:tc>
      </w:tr>
      <w:tr>
        <w:tc>
          <w:tcPr>
            <w:tcW w:type="dxa" w:w="510"/>
            <w:vMerge/>
          </w:tcPr>
          <w:p/>
        </w:tc>
        <w:tc>
          <w:tcPr>
            <w:tcW w:type="dxa" w:w="1600"/>
            <w:vMerge/>
          </w:tcPr>
          <w:p/>
        </w:tc>
        <w:tc>
          <w:tcPr>
            <w:tcW w:type="dxa" w:w="7303"/>
          </w:tcPr>
          <w:p>
            <w:pPr>
              <w:spacing w:after="20"/>
              <w:jc w:val="left"/>
            </w:pPr>
            <w:r/>
            <w:r>
              <w:rPr>
                <w:rFonts w:ascii="Times New Roman" w:hAnsi="Times New Roman"/>
                <w:b w:val="0"/>
                <w:sz w:val="18"/>
              </w:rPr>
              <w:t>Quyền và nghĩa vụ của công dân trong bảo vệ, chăm sóc sức khoẻ và bảo đảm an sinh xã hội</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2</w:t>
            </w:r>
          </w:p>
        </w:tc>
        <w:tc>
          <w:tcPr>
            <w:tcW w:type="dxa" w:w="963"/>
          </w:tcPr>
          <w:p>
            <w:pPr>
              <w:spacing w:after="20"/>
              <w:jc w:val="center"/>
            </w:pPr>
            <w:r/>
            <w:r>
              <w:rPr>
                <w:rFonts w:ascii="Times New Roman" w:hAnsi="Times New Roman"/>
                <w:b w:val="0"/>
                <w:sz w:val="18"/>
              </w:rPr>
              <w:t>8</w:t>
            </w:r>
          </w:p>
        </w:tc>
        <w:tc>
          <w:tcPr>
            <w:tcW w:type="dxa" w:w="850"/>
          </w:tcPr>
          <w:p>
            <w:pPr>
              <w:spacing w:after="20"/>
              <w:jc w:val="center"/>
            </w:pPr>
            <w:r/>
            <w:r>
              <w:rPr>
                <w:rFonts w:ascii="Times New Roman" w:hAnsi="Times New Roman"/>
                <w:b w:val="0"/>
                <w:sz w:val="18"/>
              </w:rPr>
              <w:t>20%</w:t>
            </w:r>
          </w:p>
        </w:tc>
      </w:tr>
      <w:tr>
        <w:tc>
          <w:tcPr>
            <w:tcW w:type="dxa" w:w="510"/>
            <w:vMerge/>
          </w:tcPr>
          <w:p/>
        </w:tc>
        <w:tc>
          <w:tcPr>
            <w:tcW w:type="dxa" w:w="1600"/>
            <w:vMerge/>
          </w:tcPr>
          <w:p/>
        </w:tc>
        <w:tc>
          <w:tcPr>
            <w:tcW w:type="dxa" w:w="7303"/>
          </w:tcPr>
          <w:p>
            <w:pPr>
              <w:spacing w:after="20"/>
              <w:jc w:val="left"/>
            </w:pPr>
            <w:r/>
            <w:r>
              <w:rPr>
                <w:rFonts w:ascii="Times New Roman" w:hAnsi="Times New Roman"/>
                <w:b w:val="0"/>
                <w:sz w:val="18"/>
              </w:rPr>
              <w:t>Quyền và nghĩa vụ của công dân trong bảo vệ di sản văn hoá, môi trường và tài nguyên thiên nhiên</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3</w:t>
            </w:r>
          </w:p>
        </w:tc>
        <w:tc>
          <w:tcPr>
            <w:tcW w:type="dxa" w:w="850"/>
          </w:tcPr>
          <w:p>
            <w:pPr>
              <w:spacing w:after="20"/>
              <w:jc w:val="center"/>
            </w:pPr>
            <w:r/>
            <w:r>
              <w:rPr>
                <w:rFonts w:ascii="Times New Roman" w:hAnsi="Times New Roman"/>
                <w:b w:val="0"/>
                <w:sz w:val="18"/>
              </w:rPr>
              <w:t>7,5%</w:t>
            </w:r>
          </w:p>
        </w:tc>
      </w:tr>
      <w:tr>
        <w:tc>
          <w:tcPr>
            <w:tcW w:type="dxa" w:w="510"/>
            <w:vMerge w:val="restart"/>
          </w:tcPr>
          <w:p>
            <w:pPr>
              <w:spacing w:after="20"/>
              <w:jc w:val="center"/>
            </w:pPr>
            <w:r/>
            <w:r>
              <w:rPr>
                <w:rFonts w:ascii="Times New Roman" w:hAnsi="Times New Roman"/>
                <w:b w:val="0"/>
                <w:sz w:val="18"/>
              </w:rPr>
              <w:t>3</w:t>
            </w:r>
          </w:p>
        </w:tc>
        <w:tc>
          <w:tcPr>
            <w:tcW w:type="dxa" w:w="1600"/>
            <w:vMerge w:val="restart"/>
          </w:tcPr>
          <w:p>
            <w:pPr>
              <w:spacing w:after="20"/>
              <w:jc w:val="left"/>
            </w:pPr>
            <w:r/>
            <w:r>
              <w:rPr>
                <w:rFonts w:ascii="Times New Roman" w:hAnsi="Times New Roman"/>
                <w:b/>
                <w:sz w:val="18"/>
              </w:rPr>
              <w:t>Một số vấn đề cơ bản của luật quốc tế</w:t>
            </w:r>
          </w:p>
        </w:tc>
        <w:tc>
          <w:tcPr>
            <w:tcW w:type="dxa" w:w="7303"/>
          </w:tcPr>
          <w:p>
            <w:pPr>
              <w:spacing w:after="20"/>
              <w:jc w:val="left"/>
            </w:pPr>
            <w:r/>
            <w:r>
              <w:rPr>
                <w:rFonts w:ascii="Times New Roman" w:hAnsi="Times New Roman"/>
                <w:b w:val="0"/>
                <w:sz w:val="18"/>
              </w:rPr>
              <w:t>Một số vấn đề chung về pháp luật quốc tế</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7</w:t>
            </w:r>
          </w:p>
        </w:tc>
        <w:tc>
          <w:tcPr>
            <w:tcW w:type="dxa" w:w="850"/>
          </w:tcPr>
          <w:p>
            <w:pPr>
              <w:spacing w:after="20"/>
              <w:jc w:val="center"/>
            </w:pPr>
            <w:r/>
            <w:r>
              <w:rPr>
                <w:rFonts w:ascii="Times New Roman" w:hAnsi="Times New Roman"/>
                <w:b w:val="0"/>
                <w:sz w:val="18"/>
              </w:rPr>
              <w:t>17,5%</w:t>
            </w:r>
          </w:p>
        </w:tc>
      </w:tr>
      <w:tr>
        <w:tc>
          <w:tcPr>
            <w:tcW w:type="dxa" w:w="510"/>
            <w:vMerge/>
          </w:tcPr>
          <w:p/>
        </w:tc>
        <w:tc>
          <w:tcPr>
            <w:tcW w:type="dxa" w:w="1600"/>
            <w:vMerge/>
          </w:tcPr>
          <w:p/>
        </w:tc>
        <w:tc>
          <w:tcPr>
            <w:tcW w:type="dxa" w:w="7303"/>
          </w:tcPr>
          <w:p>
            <w:pPr>
              <w:spacing w:after="20"/>
              <w:jc w:val="left"/>
            </w:pPr>
            <w:r/>
            <w:r>
              <w:rPr>
                <w:rFonts w:ascii="Times New Roman" w:hAnsi="Times New Roman"/>
                <w:b w:val="0"/>
                <w:sz w:val="18"/>
              </w:rPr>
              <w:t>Công pháp quốc tế về dân cư, lãnh thổ và chủ quyền quốc gia</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3</w:t>
            </w:r>
          </w:p>
        </w:tc>
        <w:tc>
          <w:tcPr>
            <w:tcW w:type="dxa" w:w="850"/>
          </w:tcPr>
          <w:p>
            <w:pPr>
              <w:spacing w:after="20"/>
              <w:jc w:val="center"/>
            </w:pPr>
            <w:r/>
            <w:r>
              <w:rPr>
                <w:rFonts w:ascii="Times New Roman" w:hAnsi="Times New Roman"/>
                <w:b w:val="0"/>
                <w:sz w:val="18"/>
              </w:rPr>
              <w:t>7,5%</w:t>
            </w:r>
          </w:p>
        </w:tc>
      </w:tr>
      <w:tr>
        <w:tc>
          <w:tcPr>
            <w:tcW w:type="dxa" w:w="510"/>
            <w:vMerge/>
          </w:tcPr>
          <w:p/>
        </w:tc>
        <w:tc>
          <w:tcPr>
            <w:tcW w:type="dxa" w:w="1600"/>
            <w:vMerge/>
          </w:tcPr>
          <w:p/>
        </w:tc>
        <w:tc>
          <w:tcPr>
            <w:tcW w:type="dxa" w:w="7303"/>
          </w:tcPr>
          <w:p>
            <w:pPr>
              <w:spacing w:after="20"/>
              <w:jc w:val="left"/>
            </w:pPr>
            <w:r/>
            <w:r>
              <w:rPr>
                <w:rFonts w:ascii="Times New Roman" w:hAnsi="Times New Roman"/>
                <w:b w:val="0"/>
                <w:sz w:val="18"/>
              </w:rPr>
              <w:t>Nguyên tắc cơ bản của Tổ chức Thương mại thế giới và hợp đồng thương mại quốc tế</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2</w:t>
            </w:r>
          </w:p>
        </w:tc>
        <w:tc>
          <w:tcPr>
            <w:tcW w:type="dxa" w:w="963"/>
          </w:tcPr>
          <w:p>
            <w:pPr>
              <w:spacing w:after="20"/>
              <w:jc w:val="center"/>
            </w:pPr>
            <w:r/>
            <w:r>
              <w:rPr>
                <w:rFonts w:ascii="Times New Roman" w:hAnsi="Times New Roman"/>
                <w:b w:val="0"/>
                <w:sz w:val="18"/>
              </w:rPr>
              <w:t>7</w:t>
            </w:r>
          </w:p>
        </w:tc>
        <w:tc>
          <w:tcPr>
            <w:tcW w:type="dxa" w:w="850"/>
          </w:tcPr>
          <w:p>
            <w:pPr>
              <w:spacing w:after="20"/>
              <w:jc w:val="center"/>
            </w:pPr>
            <w:r/>
            <w:r>
              <w:rPr>
                <w:rFonts w:ascii="Times New Roman" w:hAnsi="Times New Roman"/>
                <w:b w:val="0"/>
                <w:sz w:val="18"/>
              </w:rPr>
              <w:t>17,5%</w:t>
            </w:r>
          </w:p>
        </w:tc>
      </w:tr>
      <w:tr>
        <w:tc>
          <w:tcPr>
            <w:tcW w:type="dxa" w:w="9413"/>
            <w:gridSpan w:val="3"/>
            <w:shd w:val="clear" w:color="auto" w:fill="F2F2F2"/>
          </w:tcPr>
          <w:p>
            <w:pPr>
              <w:spacing w:after="20"/>
              <w:jc w:val="left"/>
            </w:pPr>
            <w:r/>
            <w:r>
              <w:rPr>
                <w:rFonts w:ascii="Times New Roman" w:hAnsi="Times New Roman"/>
                <w:b/>
                <w:sz w:val="18"/>
              </w:rPr>
              <w:t>Tổng số câu/ý</w:t>
            </w:r>
          </w:p>
        </w:tc>
        <w:tc>
          <w:tcPr>
            <w:tcW w:type="dxa" w:w="652"/>
            <w:shd w:val="clear" w:color="auto" w:fill="F2F2F2"/>
          </w:tcPr>
          <w:p>
            <w:pPr>
              <w:spacing w:after="20"/>
              <w:jc w:val="center"/>
            </w:pPr>
            <w:r/>
            <w:r>
              <w:rPr>
                <w:rFonts w:ascii="Times New Roman" w:hAnsi="Times New Roman"/>
                <w:b/>
                <w:sz w:val="18"/>
              </w:rPr>
              <w:t>12</w:t>
            </w:r>
          </w:p>
        </w:tc>
        <w:tc>
          <w:tcPr>
            <w:tcW w:type="dxa" w:w="652"/>
            <w:shd w:val="clear" w:color="auto" w:fill="F2F2F2"/>
          </w:tcPr>
          <w:p>
            <w:pPr>
              <w:spacing w:after="20"/>
              <w:jc w:val="center"/>
            </w:pPr>
            <w:r/>
            <w:r>
              <w:rPr>
                <w:rFonts w:ascii="Times New Roman" w:hAnsi="Times New Roman"/>
                <w:b/>
                <w:sz w:val="18"/>
              </w:rPr>
              <w:t>6</w:t>
            </w:r>
          </w:p>
        </w:tc>
        <w:tc>
          <w:tcPr>
            <w:tcW w:type="dxa" w:w="652"/>
            <w:shd w:val="clear" w:color="auto" w:fill="F2F2F2"/>
          </w:tcPr>
          <w:p>
            <w:pPr>
              <w:spacing w:after="20"/>
              <w:jc w:val="center"/>
            </w:pPr>
            <w:r/>
            <w:r>
              <w:rPr>
                <w:rFonts w:ascii="Times New Roman" w:hAnsi="Times New Roman"/>
                <w:b/>
                <w:sz w:val="18"/>
              </w:rPr>
              <w:t>6</w:t>
            </w:r>
          </w:p>
        </w:tc>
        <w:tc>
          <w:tcPr>
            <w:tcW w:type="dxa" w:w="652"/>
            <w:shd w:val="clear" w:color="auto" w:fill="F2F2F2"/>
          </w:tcPr>
          <w:p>
            <w:pPr>
              <w:spacing w:after="20"/>
              <w:jc w:val="center"/>
            </w:pPr>
            <w:r/>
            <w:r>
              <w:rPr>
                <w:rFonts w:ascii="Times New Roman" w:hAnsi="Times New Roman"/>
                <w:b/>
                <w:sz w:val="18"/>
              </w:rPr>
              <w:t>4</w:t>
            </w:r>
          </w:p>
        </w:tc>
        <w:tc>
          <w:tcPr>
            <w:tcW w:type="dxa" w:w="652"/>
            <w:shd w:val="clear" w:color="auto" w:fill="F2F2F2"/>
          </w:tcPr>
          <w:p>
            <w:pPr>
              <w:spacing w:after="20"/>
              <w:jc w:val="center"/>
            </w:pPr>
            <w:r/>
            <w:r>
              <w:rPr>
                <w:rFonts w:ascii="Times New Roman" w:hAnsi="Times New Roman"/>
                <w:b/>
                <w:sz w:val="18"/>
              </w:rPr>
              <w:t>6</w:t>
            </w:r>
          </w:p>
        </w:tc>
        <w:tc>
          <w:tcPr>
            <w:tcW w:type="dxa" w:w="652"/>
            <w:shd w:val="clear" w:color="auto" w:fill="F2F2F2"/>
          </w:tcPr>
          <w:p>
            <w:pPr>
              <w:spacing w:after="20"/>
              <w:jc w:val="center"/>
            </w:pPr>
            <w:r/>
            <w:r>
              <w:rPr>
                <w:rFonts w:ascii="Times New Roman" w:hAnsi="Times New Roman"/>
                <w:b/>
                <w:sz w:val="18"/>
              </w:rPr>
              <w:t>6</w:t>
            </w:r>
          </w:p>
        </w:tc>
        <w:tc>
          <w:tcPr>
            <w:tcW w:type="dxa" w:w="963"/>
            <w:shd w:val="clear" w:color="auto" w:fill="F2F2F2"/>
          </w:tcPr>
          <w:p>
            <w:pPr>
              <w:spacing w:after="20"/>
              <w:jc w:val="center"/>
            </w:pPr>
            <w:r/>
            <w:r>
              <w:rPr>
                <w:rFonts w:ascii="Times New Roman" w:hAnsi="Times New Roman"/>
                <w:b/>
                <w:sz w:val="18"/>
              </w:rPr>
              <w:t>40</w:t>
            </w:r>
          </w:p>
        </w:tc>
        <w:tc>
          <w:tcPr>
            <w:tcW w:type="dxa" w:w="850"/>
            <w:shd w:val="clear" w:color="auto" w:fill="F2F2F2"/>
          </w:tcPr>
          <w:p>
            <w:pPr>
              <w:spacing w:after="20"/>
              <w:jc w:val="center"/>
            </w:pPr>
            <w:r/>
            <w:r>
              <w:rPr>
                <w:rFonts w:ascii="Times New Roman" w:hAnsi="Times New Roman"/>
                <w:b/>
                <w:sz w:val="18"/>
              </w:rPr>
              <w:t>100%</w:t>
            </w:r>
          </w:p>
        </w:tc>
      </w:tr>
      <w:tr>
        <w:tc>
          <w:tcPr>
            <w:tcW w:type="dxa" w:w="9413"/>
            <w:gridSpan w:val="3"/>
            <w:shd w:val="clear" w:color="auto" w:fill="F2F2F2"/>
          </w:tcPr>
          <w:p>
            <w:pPr>
              <w:spacing w:after="20"/>
              <w:jc w:val="left"/>
            </w:pPr>
            <w:r/>
            <w:r>
              <w:rPr>
                <w:rFonts w:ascii="Times New Roman" w:hAnsi="Times New Roman"/>
                <w:b/>
                <w:sz w:val="18"/>
              </w:rPr>
              <w:t>Tổng điểm</w:t>
            </w:r>
          </w:p>
        </w:tc>
        <w:tc>
          <w:tcPr>
            <w:tcW w:type="dxa" w:w="1956"/>
            <w:gridSpan w:val="3"/>
            <w:shd w:val="clear" w:color="auto" w:fill="F2F2F2"/>
          </w:tcPr>
          <w:p>
            <w:pPr>
              <w:spacing w:after="20"/>
              <w:jc w:val="center"/>
            </w:pPr>
            <w:r/>
            <w:r>
              <w:rPr>
                <w:rFonts w:ascii="Times New Roman" w:hAnsi="Times New Roman"/>
                <w:b/>
                <w:sz w:val="18"/>
              </w:rPr>
              <w:t>6 điểm</w:t>
            </w:r>
          </w:p>
        </w:tc>
        <w:tc>
          <w:tcPr>
            <w:tcW w:type="dxa" w:w="1956"/>
            <w:gridSpan w:val="3"/>
            <w:shd w:val="clear" w:color="auto" w:fill="F2F2F2"/>
          </w:tcPr>
          <w:p>
            <w:pPr>
              <w:spacing w:after="20"/>
              <w:jc w:val="center"/>
            </w:pPr>
            <w:r/>
            <w:r>
              <w:rPr>
                <w:rFonts w:ascii="Times New Roman" w:hAnsi="Times New Roman"/>
                <w:b/>
                <w:sz w:val="18"/>
              </w:rPr>
              <w:t>4 điểm</w:t>
            </w:r>
          </w:p>
        </w:tc>
        <w:tc>
          <w:tcPr>
            <w:tcW w:type="dxa" w:w="1813"/>
            <w:gridSpan w:val="2"/>
            <w:shd w:val="clear" w:color="auto" w:fill="F2F2F2"/>
          </w:tcPr>
          <w:p>
            <w:pPr>
              <w:spacing w:after="20"/>
              <w:jc w:val="center"/>
            </w:pPr>
            <w:r/>
            <w:r>
              <w:rPr>
                <w:rFonts w:ascii="Times New Roman" w:hAnsi="Times New Roman"/>
                <w:b/>
                <w:sz w:val="18"/>
              </w:rPr>
              <w:t>10 điểm</w:t>
            </w:r>
          </w:p>
        </w:tc>
      </w:tr>
      <w:tr>
        <w:tc>
          <w:tcPr>
            <w:tcW w:type="dxa" w:w="9413"/>
            <w:gridSpan w:val="3"/>
            <w:shd w:val="clear" w:color="auto" w:fill="F2F2F2"/>
          </w:tcPr>
          <w:p>
            <w:pPr>
              <w:spacing w:after="20"/>
              <w:jc w:val="left"/>
            </w:pPr>
            <w:r/>
            <w:r>
              <w:rPr>
                <w:rFonts w:ascii="Times New Roman" w:hAnsi="Times New Roman"/>
                <w:b/>
                <w:sz w:val="18"/>
              </w:rPr>
              <w:t>Tỉ lệ theo mức độ (NB – TH – VD)</w:t>
            </w:r>
          </w:p>
        </w:tc>
        <w:tc>
          <w:tcPr>
            <w:tcW w:type="dxa" w:w="5725"/>
            <w:gridSpan w:val="8"/>
            <w:shd w:val="clear" w:color="auto" w:fill="F2F2F2"/>
          </w:tcPr>
          <w:p>
            <w:pPr>
              <w:spacing w:after="20"/>
              <w:jc w:val="center"/>
            </w:pPr>
            <w:r/>
            <w:r>
              <w:rPr>
                <w:rFonts w:ascii="Times New Roman" w:hAnsi="Times New Roman"/>
                <w:b/>
                <w:sz w:val="18"/>
              </w:rPr>
              <w:t>Nhận biết 4 điểm (40%) – Thông hiểu 3 điểm (30%) – Vận dụng 3 điểm (30%)</w:t>
            </w:r>
          </w:p>
        </w:tc>
      </w:tr>
    </w:tbl>
    <w:p>
      <w:pPr>
        <w:spacing w:after="40"/>
      </w:pPr>
      <w:r>
        <w:rPr>
          <w:b w:val="0"/>
          <w:i/>
          <w:sz w:val="20"/>
        </w:rPr>
        <w:t>Ghi chú: Phần I: mỗi câu 0,25 điểm; Phần II: mỗi ý 0,25 điểm (mỗi câu 4 ý = 1 điểm).</w:t>
      </w:r>
    </w:p>
    <w:p>
      <w:pPr>
        <w:spacing w:after="40"/>
      </w:pPr>
      <w:r>
        <w:rPr>
          <w:b w:val="0"/>
          <w:i w:val="0"/>
          <w:sz w:val="22"/>
        </w:rPr>
      </w:r>
    </w:p>
    <w:p>
      <w:pPr>
        <w:spacing w:after="40"/>
      </w:pPr>
      <w:r>
        <w:rPr>
          <w:b/>
          <w:i w:val="0"/>
          <w:sz w:val="22"/>
        </w:rPr>
        <w:t>II. BẢNG ĐẶC TẢ</w:t>
      </w:r>
    </w:p>
    <w:tbl>
      <w:tblPr>
        <w:tblStyle w:val="TableGrid"/>
        <w:tblW w:type="auto" w:w="0"/>
        <w:jc w:val="center"/>
        <w:tblLook w:firstColumn="1" w:firstRow="1" w:lastColumn="0" w:lastRow="0" w:noHBand="0" w:noVBand="1" w:val="04A0"/>
      </w:tblPr>
      <w:tblGrid>
        <w:gridCol w:w="510"/>
        <w:gridCol w:w="1360"/>
        <w:gridCol w:w="1927"/>
        <w:gridCol w:w="7939"/>
        <w:gridCol w:w="567"/>
        <w:gridCol w:w="567"/>
        <w:gridCol w:w="567"/>
        <w:gridCol w:w="567"/>
        <w:gridCol w:w="567"/>
        <w:gridCol w:w="567"/>
      </w:tblGrid>
      <w:tr>
        <w:tc>
          <w:tcPr>
            <w:tcW w:type="dxa" w:w="510"/>
            <w:vMerge w:val="restart"/>
            <w:shd w:val="clear" w:color="auto" w:fill="D9E2F3"/>
          </w:tcPr>
          <w:p>
            <w:pPr>
              <w:spacing w:after="20"/>
              <w:jc w:val="center"/>
            </w:pPr>
            <w:r/>
            <w:r>
              <w:rPr>
                <w:rFonts w:ascii="Times New Roman" w:hAnsi="Times New Roman"/>
                <w:b/>
                <w:sz w:val="18"/>
              </w:rPr>
              <w:t>TT</w:t>
            </w:r>
          </w:p>
        </w:tc>
        <w:tc>
          <w:tcPr>
            <w:tcW w:type="dxa" w:w="1360"/>
            <w:vMerge w:val="restart"/>
            <w:shd w:val="clear" w:color="auto" w:fill="D9E2F3"/>
          </w:tcPr>
          <w:p>
            <w:pPr>
              <w:spacing w:after="20"/>
              <w:jc w:val="center"/>
            </w:pPr>
            <w:r/>
            <w:r>
              <w:rPr>
                <w:rFonts w:ascii="Times New Roman" w:hAnsi="Times New Roman"/>
                <w:b/>
                <w:sz w:val="18"/>
              </w:rPr>
              <w:t>Nội dung kiến thức</w:t>
            </w:r>
          </w:p>
        </w:tc>
        <w:tc>
          <w:tcPr>
            <w:tcW w:type="dxa" w:w="1927"/>
            <w:vMerge w:val="restart"/>
            <w:shd w:val="clear" w:color="auto" w:fill="D9E2F3"/>
          </w:tcPr>
          <w:p>
            <w:pPr>
              <w:spacing w:after="20"/>
              <w:jc w:val="center"/>
            </w:pPr>
            <w:r/>
            <w:r>
              <w:rPr>
                <w:rFonts w:ascii="Times New Roman" w:hAnsi="Times New Roman"/>
                <w:b/>
                <w:sz w:val="18"/>
              </w:rPr>
              <w:t>Đơn vị kiến thức</w:t>
            </w:r>
          </w:p>
        </w:tc>
        <w:tc>
          <w:tcPr>
            <w:tcW w:type="dxa" w:w="7939"/>
            <w:vMerge w:val="restart"/>
            <w:shd w:val="clear" w:color="auto" w:fill="D9E2F3"/>
          </w:tcPr>
          <w:p>
            <w:pPr>
              <w:spacing w:after="20"/>
              <w:jc w:val="center"/>
            </w:pPr>
            <w:r/>
            <w:r>
              <w:rPr>
                <w:rFonts w:ascii="Times New Roman" w:hAnsi="Times New Roman"/>
                <w:b/>
                <w:sz w:val="18"/>
              </w:rPr>
              <w:t>Mức độ kiến thức, kĩ năng cần kiểm tra, đánh giá</w:t>
            </w:r>
          </w:p>
        </w:tc>
        <w:tc>
          <w:tcPr>
            <w:tcW w:type="dxa" w:w="3402"/>
            <w:gridSpan w:val="6"/>
            <w:shd w:val="clear" w:color="auto" w:fill="D9E2F3"/>
          </w:tcPr>
          <w:p>
            <w:pPr>
              <w:spacing w:after="20"/>
              <w:jc w:val="center"/>
            </w:pPr>
            <w:r/>
            <w:r>
              <w:rPr>
                <w:rFonts w:ascii="Times New Roman" w:hAnsi="Times New Roman"/>
                <w:b/>
                <w:sz w:val="18"/>
              </w:rPr>
              <w:t>Số câu hỏi theo mức độ nhận thức</w:t>
            </w:r>
          </w:p>
        </w:tc>
      </w:tr>
      <w:tr>
        <w:tc>
          <w:tcPr>
            <w:tcW w:type="dxa" w:w="510"/>
            <w:vMerge/>
          </w:tcPr>
          <w:p/>
        </w:tc>
        <w:tc>
          <w:tcPr>
            <w:tcW w:type="dxa" w:w="1360"/>
            <w:vMerge/>
          </w:tcPr>
          <w:p/>
        </w:tc>
        <w:tc>
          <w:tcPr>
            <w:tcW w:type="dxa" w:w="1927"/>
            <w:vMerge/>
          </w:tcPr>
          <w:p/>
        </w:tc>
        <w:tc>
          <w:tcPr>
            <w:tcW w:type="dxa" w:w="7939"/>
            <w:vMerge/>
          </w:tcPr>
          <w:p/>
        </w:tc>
        <w:tc>
          <w:tcPr>
            <w:tcW w:type="dxa" w:w="1701"/>
            <w:gridSpan w:val="3"/>
            <w:shd w:val="clear" w:color="auto" w:fill="D9E2F3"/>
          </w:tcPr>
          <w:p>
            <w:pPr>
              <w:spacing w:after="20"/>
              <w:jc w:val="center"/>
            </w:pPr>
            <w:r/>
            <w:r>
              <w:rPr>
                <w:rFonts w:ascii="Times New Roman" w:hAnsi="Times New Roman"/>
                <w:b/>
                <w:sz w:val="18"/>
              </w:rPr>
              <w:t>TN nhiều lựa chọn</w:t>
            </w:r>
          </w:p>
        </w:tc>
        <w:tc>
          <w:tcPr>
            <w:tcW w:type="dxa" w:w="1701"/>
            <w:gridSpan w:val="3"/>
            <w:shd w:val="clear" w:color="auto" w:fill="D9E2F3"/>
          </w:tcPr>
          <w:p>
            <w:pPr>
              <w:spacing w:after="20"/>
              <w:jc w:val="center"/>
            </w:pPr>
            <w:r/>
            <w:r>
              <w:rPr>
                <w:rFonts w:ascii="Times New Roman" w:hAnsi="Times New Roman"/>
                <w:b/>
                <w:sz w:val="18"/>
              </w:rPr>
              <w:t>TN đúng/sai (ý)</w:t>
            </w:r>
          </w:p>
        </w:tc>
      </w:tr>
      <w:tr>
        <w:tc>
          <w:tcPr>
            <w:tcW w:type="dxa" w:w="510"/>
            <w:vMerge/>
          </w:tcPr>
          <w:p/>
        </w:tc>
        <w:tc>
          <w:tcPr>
            <w:tcW w:type="dxa" w:w="1360"/>
            <w:vMerge/>
          </w:tcPr>
          <w:p/>
        </w:tc>
        <w:tc>
          <w:tcPr>
            <w:tcW w:type="dxa" w:w="1927"/>
            <w:vMerge/>
          </w:tcPr>
          <w:p/>
        </w:tc>
        <w:tc>
          <w:tcPr>
            <w:tcW w:type="dxa" w:w="7939"/>
            <w:vMerge/>
          </w:tcPr>
          <w:p/>
        </w:tc>
        <w:tc>
          <w:tcPr>
            <w:tcW w:type="dxa" w:w="567"/>
            <w:shd w:val="clear" w:color="auto" w:fill="D9E2F3"/>
          </w:tcPr>
          <w:p>
            <w:pPr>
              <w:spacing w:after="20"/>
              <w:jc w:val="center"/>
            </w:pPr>
            <w:r/>
            <w:r>
              <w:rPr>
                <w:rFonts w:ascii="Times New Roman" w:hAnsi="Times New Roman"/>
                <w:b/>
                <w:sz w:val="18"/>
              </w:rPr>
              <w:t>NB</w:t>
            </w:r>
          </w:p>
        </w:tc>
        <w:tc>
          <w:tcPr>
            <w:tcW w:type="dxa" w:w="567"/>
            <w:shd w:val="clear" w:color="auto" w:fill="D9E2F3"/>
          </w:tcPr>
          <w:p>
            <w:pPr>
              <w:spacing w:after="20"/>
              <w:jc w:val="center"/>
            </w:pPr>
            <w:r/>
            <w:r>
              <w:rPr>
                <w:rFonts w:ascii="Times New Roman" w:hAnsi="Times New Roman"/>
                <w:b/>
                <w:sz w:val="18"/>
              </w:rPr>
              <w:t>TH</w:t>
            </w:r>
          </w:p>
        </w:tc>
        <w:tc>
          <w:tcPr>
            <w:tcW w:type="dxa" w:w="567"/>
            <w:shd w:val="clear" w:color="auto" w:fill="D9E2F3"/>
          </w:tcPr>
          <w:p>
            <w:pPr>
              <w:spacing w:after="20"/>
              <w:jc w:val="center"/>
            </w:pPr>
            <w:r/>
            <w:r>
              <w:rPr>
                <w:rFonts w:ascii="Times New Roman" w:hAnsi="Times New Roman"/>
                <w:b/>
                <w:sz w:val="18"/>
              </w:rPr>
              <w:t>VD</w:t>
            </w:r>
          </w:p>
        </w:tc>
        <w:tc>
          <w:tcPr>
            <w:tcW w:type="dxa" w:w="567"/>
            <w:shd w:val="clear" w:color="auto" w:fill="D9E2F3"/>
          </w:tcPr>
          <w:p>
            <w:pPr>
              <w:spacing w:after="20"/>
              <w:jc w:val="center"/>
            </w:pPr>
            <w:r/>
            <w:r>
              <w:rPr>
                <w:rFonts w:ascii="Times New Roman" w:hAnsi="Times New Roman"/>
                <w:b/>
                <w:sz w:val="18"/>
              </w:rPr>
              <w:t>NB</w:t>
            </w:r>
          </w:p>
        </w:tc>
        <w:tc>
          <w:tcPr>
            <w:tcW w:type="dxa" w:w="567"/>
            <w:shd w:val="clear" w:color="auto" w:fill="D9E2F3"/>
          </w:tcPr>
          <w:p>
            <w:pPr>
              <w:spacing w:after="20"/>
              <w:jc w:val="center"/>
            </w:pPr>
            <w:r/>
            <w:r>
              <w:rPr>
                <w:rFonts w:ascii="Times New Roman" w:hAnsi="Times New Roman"/>
                <w:b/>
                <w:sz w:val="18"/>
              </w:rPr>
              <w:t>TH</w:t>
            </w:r>
          </w:p>
        </w:tc>
        <w:tc>
          <w:tcPr>
            <w:tcW w:type="dxa" w:w="567"/>
            <w:shd w:val="clear" w:color="auto" w:fill="D9E2F3"/>
          </w:tcPr>
          <w:p>
            <w:pPr>
              <w:spacing w:after="20"/>
              <w:jc w:val="center"/>
            </w:pPr>
            <w:r/>
            <w:r>
              <w:rPr>
                <w:rFonts w:ascii="Times New Roman" w:hAnsi="Times New Roman"/>
                <w:b/>
                <w:sz w:val="18"/>
              </w:rPr>
              <w:t>VD</w:t>
            </w:r>
          </w:p>
        </w:tc>
      </w:tr>
      <w:tr>
        <w:tc>
          <w:tcPr>
            <w:tcW w:type="dxa" w:w="510"/>
            <w:vMerge w:val="restart"/>
          </w:tcPr>
          <w:p>
            <w:pPr>
              <w:spacing w:after="20"/>
              <w:jc w:val="center"/>
            </w:pPr>
            <w:r/>
            <w:r>
              <w:rPr>
                <w:rFonts w:ascii="Times New Roman" w:hAnsi="Times New Roman"/>
                <w:b w:val="0"/>
                <w:sz w:val="18"/>
              </w:rPr>
              <w:t>1</w:t>
            </w:r>
          </w:p>
        </w:tc>
        <w:tc>
          <w:tcPr>
            <w:tcW w:type="dxa" w:w="1360"/>
            <w:vMerge w:val="restart"/>
          </w:tcPr>
          <w:p>
            <w:pPr>
              <w:spacing w:after="20"/>
              <w:jc w:val="left"/>
            </w:pPr>
            <w:r/>
            <w:r>
              <w:rPr>
                <w:rFonts w:ascii="Times New Roman" w:hAnsi="Times New Roman"/>
                <w:b/>
                <w:sz w:val="18"/>
              </w:rPr>
              <w:t>Một số quyền và nghĩa vụ của công dân về kinh tế</w:t>
            </w:r>
          </w:p>
        </w:tc>
        <w:tc>
          <w:tcPr>
            <w:tcW w:type="dxa" w:w="1927"/>
          </w:tcPr>
          <w:p>
            <w:pPr>
              <w:spacing w:after="20"/>
              <w:jc w:val="left"/>
            </w:pPr>
            <w:r/>
            <w:r>
              <w:rPr>
                <w:rFonts w:ascii="Times New Roman" w:hAnsi="Times New Roman"/>
                <w:b w:val="0"/>
                <w:sz w:val="18"/>
              </w:rPr>
              <w:t>Quyền và nghĩa vụ của công dân về kinh doanh và nộp thuế</w:t>
            </w:r>
          </w:p>
        </w:tc>
        <w:tc>
          <w:tcPr>
            <w:tcW w:type="dxa" w:w="7939"/>
          </w:tcPr>
          <w:p>
            <w:r/>
            <w:r>
              <w:rPr>
                <w:b/>
                <w:sz w:val="18"/>
              </w:rPr>
              <w:t>Nhận biết:</w:t>
            </w:r>
          </w:p>
          <w:p>
            <w:pPr>
              <w:spacing w:after="0"/>
            </w:pPr>
            <w:r>
              <w:rPr>
                <w:sz w:val="18"/>
              </w:rPr>
              <w:t>- Nêu được quy định cơ bản của pháp luật về quyền và nghĩa vụ của công dân trong kinh doanh và nộp thuế.</w:t>
            </w:r>
          </w:p>
          <w:p>
            <w:r>
              <w:rPr>
                <w:b/>
                <w:sz w:val="18"/>
              </w:rPr>
              <w:t>Thông hiểu:</w:t>
            </w:r>
          </w:p>
          <w:p>
            <w:pPr>
              <w:spacing w:after="0"/>
            </w:pPr>
            <w:r>
              <w:rPr>
                <w:sz w:val="18"/>
              </w:rPr>
              <w:t>- Giải thích được hậu quả của hành vi vi phạm pháp luật về kinh doanh và nộp thuế.</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r>
      <w:tr>
        <w:tc>
          <w:tcPr>
            <w:tcW w:type="dxa" w:w="510"/>
            <w:vMerge/>
          </w:tcPr>
          <w:p/>
        </w:tc>
        <w:tc>
          <w:tcPr>
            <w:tcW w:type="dxa" w:w="1360"/>
            <w:vMerge/>
          </w:tcPr>
          <w:p/>
        </w:tc>
        <w:tc>
          <w:tcPr>
            <w:tcW w:type="dxa" w:w="1927"/>
          </w:tcPr>
          <w:p>
            <w:pPr>
              <w:spacing w:after="20"/>
              <w:jc w:val="left"/>
            </w:pPr>
            <w:r/>
            <w:r>
              <w:rPr>
                <w:rFonts w:ascii="Times New Roman" w:hAnsi="Times New Roman"/>
                <w:b w:val="0"/>
                <w:sz w:val="18"/>
              </w:rPr>
              <w:t>Quyền và nghĩa vụ của công dân về sở hữu tài sản và tôn trọng tài sản của người khác</w:t>
            </w:r>
          </w:p>
        </w:tc>
        <w:tc>
          <w:tcPr>
            <w:tcW w:type="dxa" w:w="7939"/>
          </w:tcPr>
          <w:p>
            <w:r/>
            <w:r>
              <w:rPr>
                <w:b/>
                <w:sz w:val="18"/>
              </w:rPr>
              <w:t>Nhận biết:</w:t>
            </w:r>
          </w:p>
          <w:p>
            <w:pPr>
              <w:spacing w:after="0"/>
            </w:pPr>
            <w:r>
              <w:rPr>
                <w:sz w:val="18"/>
              </w:rPr>
              <w:t>- Nêu được quy định cơ bản của pháp luật về quyền sở hữu tài sản (chiếm hữu, sử dụng, định đoạt) và nghĩa vụ tôn trọng tài sản của người khác.</w:t>
            </w:r>
          </w:p>
          <w:p>
            <w:r>
              <w:rPr>
                <w:b/>
                <w:sz w:val="18"/>
              </w:rPr>
              <w:t>Vận dụng:</w:t>
            </w:r>
          </w:p>
          <w:p>
            <w:pPr>
              <w:spacing w:after="0"/>
            </w:pPr>
            <w:r>
              <w:rPr>
                <w:sz w:val="18"/>
              </w:rPr>
              <w:t>- Đánh giá được hành vi thực hiện hoặc vi phạm quyền sở hữu tài sản trong tình huống cụ thể.</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r>
      <w:tr>
        <w:tc>
          <w:tcPr>
            <w:tcW w:type="dxa" w:w="510"/>
            <w:vMerge w:val="restart"/>
          </w:tcPr>
          <w:p>
            <w:pPr>
              <w:spacing w:after="20"/>
              <w:jc w:val="center"/>
            </w:pPr>
            <w:r/>
            <w:r>
              <w:rPr>
                <w:rFonts w:ascii="Times New Roman" w:hAnsi="Times New Roman"/>
                <w:b w:val="0"/>
                <w:sz w:val="18"/>
              </w:rPr>
              <w:t>2</w:t>
            </w:r>
          </w:p>
        </w:tc>
        <w:tc>
          <w:tcPr>
            <w:tcW w:type="dxa" w:w="1360"/>
            <w:vMerge w:val="restart"/>
          </w:tcPr>
          <w:p>
            <w:pPr>
              <w:spacing w:after="20"/>
              <w:jc w:val="left"/>
            </w:pPr>
            <w:r/>
            <w:r>
              <w:rPr>
                <w:rFonts w:ascii="Times New Roman" w:hAnsi="Times New Roman"/>
                <w:b/>
                <w:sz w:val="18"/>
              </w:rPr>
              <w:t>Quyền và nghĩa vụ của công dân về văn hoá, xã hội</w:t>
            </w:r>
          </w:p>
        </w:tc>
        <w:tc>
          <w:tcPr>
            <w:tcW w:type="dxa" w:w="1927"/>
          </w:tcPr>
          <w:p>
            <w:pPr>
              <w:spacing w:after="20"/>
              <w:jc w:val="left"/>
            </w:pPr>
            <w:r/>
            <w:r>
              <w:rPr>
                <w:rFonts w:ascii="Times New Roman" w:hAnsi="Times New Roman"/>
                <w:b w:val="0"/>
                <w:sz w:val="18"/>
              </w:rPr>
              <w:t>Quyền và nghĩa vụ của công dân trong hôn nhân và gia đình</w:t>
            </w:r>
          </w:p>
        </w:tc>
        <w:tc>
          <w:tcPr>
            <w:tcW w:type="dxa" w:w="7939"/>
          </w:tcPr>
          <w:p>
            <w:r/>
            <w:r>
              <w:rPr>
                <w:b/>
                <w:sz w:val="18"/>
              </w:rPr>
              <w:t>Nhận biết:</w:t>
            </w:r>
          </w:p>
          <w:p>
            <w:pPr>
              <w:spacing w:after="0"/>
            </w:pPr>
            <w:r>
              <w:rPr>
                <w:sz w:val="18"/>
              </w:rPr>
              <w:t>- Nêu được quy định cơ bản của pháp luật về quyền và nghĩa vụ của công dân trong hôn nhân và gia đình (kết hôn, quan hệ vợ chồng, cha mẹ và con, các thành viên khác).</w:t>
            </w:r>
          </w:p>
          <w:p>
            <w:r>
              <w:rPr>
                <w:b/>
                <w:sz w:val="18"/>
              </w:rPr>
              <w:t>Thông hiểu:</w:t>
            </w:r>
          </w:p>
          <w:p>
            <w:pPr>
              <w:spacing w:after="0"/>
            </w:pPr>
            <w:r>
              <w:rPr>
                <w:sz w:val="18"/>
              </w:rPr>
              <w:t>- Giải thích được hậu quả của hành vi vi phạm pháp luật về hôn nhân và gia đình.</w:t>
            </w:r>
          </w:p>
          <w:p>
            <w:r>
              <w:rPr>
                <w:b/>
                <w:sz w:val="18"/>
              </w:rPr>
              <w:t>Vận dụng:</w:t>
            </w:r>
          </w:p>
          <w:p>
            <w:pPr>
              <w:spacing w:after="0"/>
            </w:pPr>
            <w:r>
              <w:rPr>
                <w:sz w:val="18"/>
              </w:rPr>
              <w:t>- Đánh giá được hành vi thực hiện hoặc vi phạm quyền, nghĩa vụ trong hôn nhân và gia đình trong tình huống cụ thể.</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1</w:t>
            </w:r>
          </w:p>
        </w:tc>
      </w:tr>
      <w:tr>
        <w:tc>
          <w:tcPr>
            <w:tcW w:type="dxa" w:w="510"/>
            <w:vMerge/>
          </w:tcPr>
          <w:p/>
        </w:tc>
        <w:tc>
          <w:tcPr>
            <w:tcW w:type="dxa" w:w="1360"/>
            <w:vMerge/>
          </w:tcPr>
          <w:p/>
        </w:tc>
        <w:tc>
          <w:tcPr>
            <w:tcW w:type="dxa" w:w="1927"/>
          </w:tcPr>
          <w:p>
            <w:pPr>
              <w:spacing w:after="20"/>
              <w:jc w:val="left"/>
            </w:pPr>
            <w:r/>
            <w:r>
              <w:rPr>
                <w:rFonts w:ascii="Times New Roman" w:hAnsi="Times New Roman"/>
                <w:b w:val="0"/>
                <w:sz w:val="18"/>
              </w:rPr>
              <w:t>Quyền và nghĩa vụ của công dân trong học tập</w:t>
            </w:r>
          </w:p>
        </w:tc>
        <w:tc>
          <w:tcPr>
            <w:tcW w:type="dxa" w:w="7939"/>
          </w:tcPr>
          <w:p>
            <w:r/>
            <w:r>
              <w:rPr>
                <w:b/>
                <w:sz w:val="18"/>
              </w:rPr>
              <w:t>Nhận biết:</w:t>
            </w:r>
          </w:p>
          <w:p>
            <w:pPr>
              <w:spacing w:after="0"/>
            </w:pPr>
            <w:r>
              <w:rPr>
                <w:sz w:val="18"/>
              </w:rPr>
              <w:t>- Nêu được quy định cơ bản của pháp luật về quyền và nghĩa vụ của công dân trong học tập.</w:t>
            </w:r>
          </w:p>
          <w:p>
            <w:r>
              <w:rPr>
                <w:b/>
                <w:sz w:val="18"/>
              </w:rPr>
              <w:t>Vận dụng:</w:t>
            </w:r>
          </w:p>
          <w:p>
            <w:pPr>
              <w:spacing w:after="0"/>
            </w:pPr>
            <w:r>
              <w:rPr>
                <w:sz w:val="18"/>
              </w:rPr>
              <w:t>- Thực hiện được quyền và nghĩa vụ học tập; đánh giá được hành vi vi phạm trong tình huống cụ thể.</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r>
      <w:tr>
        <w:tc>
          <w:tcPr>
            <w:tcW w:type="dxa" w:w="510"/>
            <w:vMerge/>
          </w:tcPr>
          <w:p/>
        </w:tc>
        <w:tc>
          <w:tcPr>
            <w:tcW w:type="dxa" w:w="1360"/>
            <w:vMerge/>
          </w:tcPr>
          <w:p/>
        </w:tc>
        <w:tc>
          <w:tcPr>
            <w:tcW w:type="dxa" w:w="1927"/>
          </w:tcPr>
          <w:p>
            <w:pPr>
              <w:spacing w:after="20"/>
              <w:jc w:val="left"/>
            </w:pPr>
            <w:r/>
            <w:r>
              <w:rPr>
                <w:rFonts w:ascii="Times New Roman" w:hAnsi="Times New Roman"/>
                <w:b w:val="0"/>
                <w:sz w:val="18"/>
              </w:rPr>
              <w:t>Quyền và nghĩa vụ của công dân trong bảo vệ, chăm sóc sức khoẻ và bảo đảm an sinh xã hội</w:t>
            </w:r>
          </w:p>
        </w:tc>
        <w:tc>
          <w:tcPr>
            <w:tcW w:type="dxa" w:w="7939"/>
          </w:tcPr>
          <w:p>
            <w:r/>
            <w:r>
              <w:rPr>
                <w:b/>
                <w:sz w:val="18"/>
              </w:rPr>
              <w:t>Nhận biết:</w:t>
            </w:r>
          </w:p>
          <w:p>
            <w:pPr>
              <w:spacing w:after="0"/>
            </w:pPr>
            <w:r>
              <w:rPr>
                <w:sz w:val="18"/>
              </w:rPr>
              <w:t>- Nêu được quy định cơ bản của pháp luật về quyền và nghĩa vụ của công dân trong bảo vệ, chăm sóc sức khoẻ và bảo đảm an sinh xã hội.</w:t>
            </w:r>
          </w:p>
          <w:p>
            <w:r>
              <w:rPr>
                <w:b/>
                <w:sz w:val="18"/>
              </w:rPr>
              <w:t>Thông hiểu:</w:t>
            </w:r>
          </w:p>
          <w:p>
            <w:pPr>
              <w:spacing w:after="0"/>
            </w:pPr>
            <w:r>
              <w:rPr>
                <w:sz w:val="18"/>
              </w:rPr>
              <w:t>- Giải thích được hậu quả của hành vi vi phạm quyền và nghĩa vụ về bảo vệ, chăm sóc sức khoẻ và an sinh xã hội.</w:t>
            </w:r>
          </w:p>
          <w:p>
            <w:r>
              <w:rPr>
                <w:b/>
                <w:sz w:val="18"/>
              </w:rPr>
              <w:t>Vận dụng:</w:t>
            </w:r>
          </w:p>
          <w:p>
            <w:pPr>
              <w:spacing w:after="0"/>
            </w:pPr>
            <w:r>
              <w:rPr>
                <w:sz w:val="18"/>
              </w:rPr>
              <w:t>- Đánh giá được hành vi thực hiện hoặc vi phạm các quyền, nghĩa vụ này trong tình huống cụ thể.</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2</w:t>
            </w:r>
          </w:p>
        </w:tc>
      </w:tr>
      <w:tr>
        <w:tc>
          <w:tcPr>
            <w:tcW w:type="dxa" w:w="510"/>
            <w:vMerge/>
          </w:tcPr>
          <w:p/>
        </w:tc>
        <w:tc>
          <w:tcPr>
            <w:tcW w:type="dxa" w:w="1360"/>
            <w:vMerge/>
          </w:tcPr>
          <w:p/>
        </w:tc>
        <w:tc>
          <w:tcPr>
            <w:tcW w:type="dxa" w:w="1927"/>
          </w:tcPr>
          <w:p>
            <w:pPr>
              <w:spacing w:after="20"/>
              <w:jc w:val="left"/>
            </w:pPr>
            <w:r/>
            <w:r>
              <w:rPr>
                <w:rFonts w:ascii="Times New Roman" w:hAnsi="Times New Roman"/>
                <w:b w:val="0"/>
                <w:sz w:val="18"/>
              </w:rPr>
              <w:t>Quyền và nghĩa vụ của công dân trong bảo vệ di sản văn hoá, môi trường và tài nguyên thiên nhiên</w:t>
            </w:r>
          </w:p>
        </w:tc>
        <w:tc>
          <w:tcPr>
            <w:tcW w:type="dxa" w:w="7939"/>
          </w:tcPr>
          <w:p>
            <w:r/>
            <w:r>
              <w:rPr>
                <w:b/>
                <w:sz w:val="18"/>
              </w:rPr>
              <w:t>Nhận biết:</w:t>
            </w:r>
          </w:p>
          <w:p>
            <w:pPr>
              <w:spacing w:after="0"/>
            </w:pPr>
            <w:r>
              <w:rPr>
                <w:sz w:val="18"/>
              </w:rPr>
              <w:t>- Nêu được quy định cơ bản của pháp luật về quyền và nghĩa vụ của công dân trong bảo vệ di sản văn hoá, môi trường và tài nguyên thiên nhiên.</w:t>
            </w:r>
          </w:p>
          <w:p>
            <w:r>
              <w:rPr>
                <w:b/>
                <w:sz w:val="18"/>
              </w:rPr>
              <w:t>Thông hiểu:</w:t>
            </w:r>
          </w:p>
          <w:p>
            <w:pPr>
              <w:spacing w:after="0"/>
            </w:pPr>
            <w:r>
              <w:rPr>
                <w:sz w:val="18"/>
              </w:rPr>
              <w:t>- Giải thích được hậu quả của hành vi vi phạm pháp luật về bảo vệ di sản văn hoá, môi trường và tài nguyên thiên nhiên.</w:t>
            </w:r>
          </w:p>
          <w:p>
            <w:r>
              <w:rPr>
                <w:b/>
                <w:sz w:val="18"/>
              </w:rPr>
              <w:t>Vận dụng:</w:t>
            </w:r>
          </w:p>
          <w:p>
            <w:pPr>
              <w:spacing w:after="0"/>
            </w:pPr>
            <w:r>
              <w:rPr>
                <w:sz w:val="18"/>
              </w:rPr>
              <w:t>- Thực hiện được nghĩa vụ bảo vệ di sản văn hoá, môi trường, tài nguyên thiên nhiên; phê phán hành vi vi phạm trong tình huống cụ thể.</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r>
      <w:tr>
        <w:tc>
          <w:tcPr>
            <w:tcW w:type="dxa" w:w="510"/>
            <w:vMerge w:val="restart"/>
          </w:tcPr>
          <w:p>
            <w:pPr>
              <w:spacing w:after="20"/>
              <w:jc w:val="center"/>
            </w:pPr>
            <w:r/>
            <w:r>
              <w:rPr>
                <w:rFonts w:ascii="Times New Roman" w:hAnsi="Times New Roman"/>
                <w:b w:val="0"/>
                <w:sz w:val="18"/>
              </w:rPr>
              <w:t>3</w:t>
            </w:r>
          </w:p>
        </w:tc>
        <w:tc>
          <w:tcPr>
            <w:tcW w:type="dxa" w:w="1360"/>
            <w:vMerge w:val="restart"/>
          </w:tcPr>
          <w:p>
            <w:pPr>
              <w:spacing w:after="20"/>
              <w:jc w:val="left"/>
            </w:pPr>
            <w:r/>
            <w:r>
              <w:rPr>
                <w:rFonts w:ascii="Times New Roman" w:hAnsi="Times New Roman"/>
                <w:b/>
                <w:sz w:val="18"/>
              </w:rPr>
              <w:t>Một số vấn đề cơ bản của luật quốc tế</w:t>
            </w:r>
          </w:p>
        </w:tc>
        <w:tc>
          <w:tcPr>
            <w:tcW w:type="dxa" w:w="1927"/>
          </w:tcPr>
          <w:p>
            <w:pPr>
              <w:spacing w:after="20"/>
              <w:jc w:val="left"/>
            </w:pPr>
            <w:r/>
            <w:r>
              <w:rPr>
                <w:rFonts w:ascii="Times New Roman" w:hAnsi="Times New Roman"/>
                <w:b w:val="0"/>
                <w:sz w:val="18"/>
              </w:rPr>
              <w:t>Một số vấn đề chung về pháp luật quốc tế</w:t>
            </w:r>
          </w:p>
        </w:tc>
        <w:tc>
          <w:tcPr>
            <w:tcW w:type="dxa" w:w="7939"/>
          </w:tcPr>
          <w:p>
            <w:r/>
            <w:r>
              <w:rPr>
                <w:b/>
                <w:sz w:val="18"/>
              </w:rPr>
              <w:t>Nhận biết:</w:t>
            </w:r>
          </w:p>
          <w:p>
            <w:pPr>
              <w:spacing w:after="0"/>
            </w:pPr>
            <w:r>
              <w:rPr>
                <w:sz w:val="18"/>
              </w:rPr>
              <w:t>- Nêu được khái niệm, vai trò và các nguyên tắc cơ bản của pháp luật quốc tế.</w:t>
            </w:r>
          </w:p>
          <w:p>
            <w:r>
              <w:rPr>
                <w:b/>
                <w:sz w:val="18"/>
              </w:rPr>
              <w:t>Thông hiểu:</w:t>
            </w:r>
          </w:p>
          <w:p>
            <w:pPr>
              <w:spacing w:after="0"/>
            </w:pPr>
            <w:r>
              <w:rPr>
                <w:sz w:val="18"/>
              </w:rPr>
              <w:t>- Giải thích được mối quan hệ giữa pháp luật quốc tế và pháp luật quốc gia.</w:t>
            </w:r>
          </w:p>
          <w:p>
            <w:r>
              <w:rPr>
                <w:b/>
                <w:sz w:val="18"/>
              </w:rPr>
              <w:t>Vận dụng:</w:t>
            </w:r>
          </w:p>
          <w:p>
            <w:pPr>
              <w:spacing w:after="0"/>
            </w:pPr>
            <w:r>
              <w:rPr>
                <w:sz w:val="18"/>
              </w:rPr>
              <w:t>- Đánh giá được việc tuân thủ các nguyên tắc cơ bản của pháp luật quốc tế trong tình huống cụ thể.</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1</w:t>
            </w:r>
          </w:p>
        </w:tc>
      </w:tr>
      <w:tr>
        <w:tc>
          <w:tcPr>
            <w:tcW w:type="dxa" w:w="510"/>
            <w:vMerge/>
          </w:tcPr>
          <w:p/>
        </w:tc>
        <w:tc>
          <w:tcPr>
            <w:tcW w:type="dxa" w:w="1360"/>
            <w:vMerge/>
          </w:tcPr>
          <w:p/>
        </w:tc>
        <w:tc>
          <w:tcPr>
            <w:tcW w:type="dxa" w:w="1927"/>
          </w:tcPr>
          <w:p>
            <w:pPr>
              <w:spacing w:after="20"/>
              <w:jc w:val="left"/>
            </w:pPr>
            <w:r/>
            <w:r>
              <w:rPr>
                <w:rFonts w:ascii="Times New Roman" w:hAnsi="Times New Roman"/>
                <w:b w:val="0"/>
                <w:sz w:val="18"/>
              </w:rPr>
              <w:t>Công pháp quốc tế về dân cư, lãnh thổ và chủ quyền quốc gia</w:t>
            </w:r>
          </w:p>
        </w:tc>
        <w:tc>
          <w:tcPr>
            <w:tcW w:type="dxa" w:w="7939"/>
          </w:tcPr>
          <w:p>
            <w:r/>
            <w:r>
              <w:rPr>
                <w:b/>
                <w:sz w:val="18"/>
              </w:rPr>
              <w:t>Nhận biết:</w:t>
            </w:r>
          </w:p>
          <w:p>
            <w:pPr>
              <w:spacing w:after="0"/>
            </w:pPr>
            <w:r>
              <w:rPr>
                <w:sz w:val="18"/>
              </w:rPr>
              <w:t>- Nêu được nội dung cơ bản của công pháp quốc tế về dân cư (quốc tịch, người nước ngoài), lãnh thổ, biên giới quốc gia và các vùng biển theo Công ước của Liên hợp quốc về Luật biển năm 1982.</w:t>
            </w:r>
          </w:p>
          <w:p>
            <w:r>
              <w:rPr>
                <w:b/>
                <w:sz w:val="18"/>
              </w:rPr>
              <w:t>Vận dụng:</w:t>
            </w:r>
          </w:p>
          <w:p>
            <w:pPr>
              <w:spacing w:after="0"/>
            </w:pPr>
            <w:r>
              <w:rPr>
                <w:sz w:val="18"/>
              </w:rPr>
              <w:t>- Đánh giá được hành vi tôn trọng hoặc xâm phạm chủ quyền lãnh thổ quốc gia trong tình huống cụ thể; ủng hộ việc bảo vệ chủ quyền biển, đảo Việt Nam.</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r>
      <w:tr>
        <w:tc>
          <w:tcPr>
            <w:tcW w:type="dxa" w:w="510"/>
            <w:vMerge/>
          </w:tcPr>
          <w:p/>
        </w:tc>
        <w:tc>
          <w:tcPr>
            <w:tcW w:type="dxa" w:w="1360"/>
            <w:vMerge/>
          </w:tcPr>
          <w:p/>
        </w:tc>
        <w:tc>
          <w:tcPr>
            <w:tcW w:type="dxa" w:w="1927"/>
          </w:tcPr>
          <w:p>
            <w:pPr>
              <w:spacing w:after="20"/>
              <w:jc w:val="left"/>
            </w:pPr>
            <w:r/>
            <w:r>
              <w:rPr>
                <w:rFonts w:ascii="Times New Roman" w:hAnsi="Times New Roman"/>
                <w:b w:val="0"/>
                <w:sz w:val="18"/>
              </w:rPr>
              <w:t>Nguyên tắc cơ bản của Tổ chức Thương mại thế giới và hợp đồng thương mại quốc tế</w:t>
            </w:r>
          </w:p>
        </w:tc>
        <w:tc>
          <w:tcPr>
            <w:tcW w:type="dxa" w:w="7939"/>
          </w:tcPr>
          <w:p>
            <w:r/>
            <w:r>
              <w:rPr>
                <w:b/>
                <w:sz w:val="18"/>
              </w:rPr>
              <w:t>Nhận biết:</w:t>
            </w:r>
          </w:p>
          <w:p>
            <w:pPr>
              <w:spacing w:after="0"/>
            </w:pPr>
            <w:r>
              <w:rPr>
                <w:sz w:val="18"/>
              </w:rPr>
              <w:t>- Nêu được các nguyên tắc cơ bản của Tổ chức Thương mại thế giới (không phân biệt đối xử, mở cửa thị trường, cạnh tranh công bằng, minh bạch); khái niệm hợp đồng thương mại quốc tế.</w:t>
            </w:r>
          </w:p>
          <w:p>
            <w:r>
              <w:rPr>
                <w:b/>
                <w:sz w:val="18"/>
              </w:rPr>
              <w:t>Thông hiểu:</w:t>
            </w:r>
          </w:p>
          <w:p>
            <w:pPr>
              <w:spacing w:after="0"/>
            </w:pPr>
            <w:r>
              <w:rPr>
                <w:sz w:val="18"/>
              </w:rPr>
              <w:t>- Giải thích được nội dung các nguyên tắc cơ bản của WTO và nội dung cơ bản của hợp đồng thương mại quốc tế.</w:t>
            </w:r>
          </w:p>
          <w:p>
            <w:r>
              <w:rPr>
                <w:b/>
                <w:sz w:val="18"/>
              </w:rPr>
              <w:t>Vận dụng:</w:t>
            </w:r>
          </w:p>
          <w:p>
            <w:pPr>
              <w:spacing w:after="0"/>
            </w:pPr>
            <w:r>
              <w:rPr>
                <w:sz w:val="18"/>
              </w:rPr>
              <w:t>- Xác định được việc áp dụng các nguyên tắc của WTO, hợp đồng thương mại quốc tế trong tình huống cụ thể.</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2</w:t>
            </w:r>
          </w:p>
        </w:tc>
      </w:tr>
    </w:tbl>
    <w:p>
      <w:pPr>
        <w:spacing w:after="40"/>
      </w:pPr>
      <w:r>
        <w:rPr>
          <w:b w:val="0"/>
          <w:i w:val="0"/>
          <w:sz w:val="22"/>
        </w:rPr>
      </w:r>
    </w:p>
    <w:p>
      <w:pPr>
        <w:spacing w:after="40"/>
      </w:pPr>
      <w:r>
        <w:rPr>
          <w:b/>
          <w:i w:val="0"/>
          <w:sz w:val="22"/>
        </w:rPr>
        <w:t>Duyệt của tổ trưởng chuyên môn                                                                                    Người lập ma trận</w:t>
      </w:r>
    </w:p>
    <w:sectPr w:rsidR="00FC693F" w:rsidRPr="0006063C" w:rsidSect="00034616">
      <w:footerReference w:type="default" r:id="rId9"/>
      <w:pgSz w:w="16838" w:h="11906" w:orient="landscape"/>
      <w:pgMar w:top="850"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748B"/>
        <w:sz w:val="18"/>
      </w:rPr>
      <w:t xml:space="preserve">Tài liệu miễn phí từ SmartTest – tạo đề theo ma trận này bằng AI: </w:t>
    </w:r>
    <w:hyperlink r:id="rId1">
      <w:r>
        <w:rPr>
          <w:color w:val="1D4ED8"/>
          <w:u w:val="single"/>
          <w:sz w:val="18"/>
        </w:rPr>
        <w:t>smarttest.vn/vi/ma-tran-de-kiem-tra/lop-12/kinh-te-phap-luat/cuoi-ki-2</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smarttest.vn/vi/ma-tran-de-kiem-tra/lop-12/kinh-te-phap-luat/cuoi-ki-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 trận, bản đặc tả đề kiểm tra cuối học kì ii Giáo dục kinh tế và pháp luật 12</dc:title>
  <dc:subject>Giáo dục kinh tế và pháp luật 12 – Kết nối tri thức</dc:subject>
  <dc:creator>SmartTest</dc:creator>
  <cp:keywords>ma trận đề kiểm tra, bản đặc tả, giáo dục kinh tế và pháp luật 12, cuối học kì ii</cp:keywords>
  <dc:description/>
  <cp:lastModifiedBy>SmartTest</cp:lastModifiedBy>
  <cp:revision>1</cp:revision>
  <dcterms:created xsi:type="dcterms:W3CDTF">2026-10-30T05:28:23Z</dcterms:created>
  <dcterms:modified xsi:type="dcterms:W3CDTF">2026-10-30T05:28:23Z</dcterms:modified>
  <cp:category/>
</cp:coreProperties>
</file>