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GIỮA HỌC KÌ II – NĂM HỌC 2026-2027</w:t>
      </w:r>
    </w:p>
    <w:p>
      <w:pPr>
        <w:spacing w:after="40"/>
        <w:jc w:val="center"/>
      </w:pPr>
      <w:r>
        <w:rPr>
          <w:b/>
          <w:i w:val="0"/>
          <w:sz w:val="26"/>
        </w:rPr>
        <w:t>MÔN: TIẾNG ANH 12</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Giữa học kì II</w:t>
      </w:r>
    </w:p>
    <w:p>
      <w:pPr>
        <w:spacing w:after="40"/>
      </w:pPr>
      <w:r>
        <w:rPr>
          <w:b w:val="0"/>
          <w:i w:val="0"/>
          <w:sz w:val="22"/>
        </w:rPr>
        <w:t>- Thời gian làm bài: 45 phút</w:t>
      </w:r>
    </w:p>
    <w:p>
      <w:pPr>
        <w:spacing w:after="40"/>
      </w:pPr>
      <w:r>
        <w:rPr>
          <w:b w:val="0"/>
          <w:i w:val="0"/>
          <w:sz w:val="22"/>
        </w:rPr>
        <w:t>- Hình thức kiểm tra: trắc nghiệm</w:t>
      </w:r>
    </w:p>
    <w:p>
      <w:pPr>
        <w:spacing w:after="40"/>
      </w:pPr>
      <w:r>
        <w:rPr>
          <w:b w:val="0"/>
          <w:i w:val="0"/>
          <w:sz w:val="22"/>
        </w:rPr>
        <w:t>- Cấu trúc:</w:t>
      </w:r>
    </w:p>
    <w:p>
      <w:pPr>
        <w:spacing w:after="40"/>
      </w:pPr>
      <w:r>
        <w:rPr>
          <w:b w:val="0"/>
          <w:i w:val="0"/>
          <w:sz w:val="22"/>
        </w:rPr>
        <w:t xml:space="preserve">    + Phần I. Trắc nghiệm nhiều lựa chọn: 40 câu – 10 điểm (100%)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Từ vựng – Ngữ pháp theo chủ điểm; Chủ đề 2 – Ngữ âm; Chủ đề 3 – Giao tiếp; Chủ đề 4 – Đọc hiểu; Chủ đề 5 – Viết</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9259"/>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9259"/>
            <w:vMerge w:val="restart"/>
            <w:shd w:val="clear" w:color="auto" w:fill="D9E2F3"/>
          </w:tcPr>
          <w:p>
            <w:pPr>
              <w:spacing w:after="20"/>
              <w:jc w:val="center"/>
            </w:pPr>
            <w:r/>
            <w:r>
              <w:rPr>
                <w:rFonts w:ascii="Times New Roman" w:hAnsi="Times New Roman"/>
                <w:b/>
                <w:sz w:val="18"/>
              </w:rPr>
              <w:t>Đơn vị kiến thức</w:t>
            </w:r>
          </w:p>
        </w:tc>
        <w:tc>
          <w:tcPr>
            <w:tcW w:type="dxa" w:w="1956"/>
            <w:gridSpan w:val="3"/>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9259"/>
            <w:vMerge/>
          </w:tcPr>
          <w:p/>
        </w:tc>
        <w:tc>
          <w:tcPr>
            <w:tcW w:type="dxa" w:w="1956"/>
            <w:gridSpan w:val="3"/>
            <w:shd w:val="clear" w:color="auto" w:fill="D9E2F3"/>
          </w:tcPr>
          <w:p>
            <w:pPr>
              <w:spacing w:after="20"/>
              <w:jc w:val="center"/>
            </w:pPr>
            <w:r/>
            <w:r>
              <w:rPr>
                <w:rFonts w:ascii="Times New Roman" w:hAnsi="Times New Roman"/>
                <w:b/>
                <w:sz w:val="18"/>
              </w:rPr>
              <w:t>Phần I: Trắc nghiệm nhiều lựa chọn</w:t>
            </w:r>
          </w:p>
        </w:tc>
        <w:tc>
          <w:tcPr>
            <w:tcW w:type="dxa" w:w="963"/>
            <w:vMerge/>
          </w:tcPr>
          <w:p/>
        </w:tc>
        <w:tc>
          <w:tcPr>
            <w:tcW w:type="dxa" w:w="850"/>
            <w:vMerge/>
          </w:tcPr>
          <w:p/>
        </w:tc>
      </w:tr>
      <w:tr>
        <w:tc>
          <w:tcPr>
            <w:tcW w:type="dxa" w:w="510"/>
            <w:vMerge/>
          </w:tcPr>
          <w:p/>
        </w:tc>
        <w:tc>
          <w:tcPr>
            <w:tcW w:type="dxa" w:w="1600"/>
            <w:vMerge/>
          </w:tcPr>
          <w:p/>
        </w:tc>
        <w:tc>
          <w:tcPr>
            <w:tcW w:type="dxa" w:w="9259"/>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vMerge w:val="restart"/>
          </w:tcPr>
          <w:p>
            <w:pPr>
              <w:spacing w:after="20"/>
              <w:jc w:val="center"/>
            </w:pPr>
            <w:r/>
            <w:r>
              <w:rPr>
                <w:rFonts w:ascii="Times New Roman" w:hAnsi="Times New Roman"/>
                <w:b w:val="0"/>
                <w:sz w:val="18"/>
              </w:rPr>
              <w:t>1</w:t>
            </w:r>
          </w:p>
        </w:tc>
        <w:tc>
          <w:tcPr>
            <w:tcW w:type="dxa" w:w="1600"/>
            <w:vMerge w:val="restart"/>
          </w:tcPr>
          <w:p>
            <w:pPr>
              <w:spacing w:after="20"/>
              <w:jc w:val="left"/>
            </w:pPr>
            <w:r/>
            <w:r>
              <w:rPr>
                <w:rFonts w:ascii="Times New Roman" w:hAnsi="Times New Roman"/>
                <w:b/>
                <w:sz w:val="18"/>
              </w:rPr>
              <w:t>Từ vựng – Ngữ pháp theo chủ điểm</w:t>
            </w:r>
          </w:p>
        </w:tc>
        <w:tc>
          <w:tcPr>
            <w:tcW w:type="dxa" w:w="9259"/>
          </w:tcPr>
          <w:p>
            <w:pPr>
              <w:spacing w:after="20"/>
              <w:jc w:val="left"/>
            </w:pPr>
            <w:r/>
            <w:r>
              <w:rPr>
                <w:rFonts w:ascii="Times New Roman" w:hAnsi="Times New Roman"/>
                <w:b w:val="0"/>
                <w:sz w:val="18"/>
              </w:rPr>
              <w:t>Unit 6: Artificial intelligence</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3</w:t>
            </w:r>
          </w:p>
        </w:tc>
        <w:tc>
          <w:tcPr>
            <w:tcW w:type="dxa" w:w="963"/>
          </w:tcPr>
          <w:p>
            <w:pPr>
              <w:spacing w:after="20"/>
              <w:jc w:val="center"/>
            </w:pPr>
            <w:r/>
            <w:r>
              <w:rPr>
                <w:rFonts w:ascii="Times New Roman" w:hAnsi="Times New Roman"/>
                <w:b w:val="0"/>
                <w:sz w:val="18"/>
              </w:rPr>
              <w:t>7</w:t>
            </w:r>
          </w:p>
        </w:tc>
        <w:tc>
          <w:tcPr>
            <w:tcW w:type="dxa" w:w="850"/>
          </w:tcPr>
          <w:p>
            <w:pPr>
              <w:spacing w:after="20"/>
              <w:jc w:val="center"/>
            </w:pPr>
            <w:r/>
            <w:r>
              <w:rPr>
                <w:rFonts w:ascii="Times New Roman" w:hAnsi="Times New Roman"/>
                <w:b w:val="0"/>
                <w:sz w:val="18"/>
              </w:rPr>
              <w:t>17,5%</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7: The world of mass media</w:t>
            </w:r>
          </w:p>
        </w:tc>
        <w:tc>
          <w:tcPr>
            <w:tcW w:type="dxa" w:w="652"/>
          </w:tcPr>
          <w:p>
            <w:pPr>
              <w:spacing w:after="20"/>
              <w:jc w:val="center"/>
            </w:pPr>
            <w:r/>
            <w:r>
              <w:rPr>
                <w:rFonts w:ascii="Times New Roman" w:hAnsi="Times New Roman"/>
                <w:b w:val="0"/>
                <w:sz w:val="18"/>
              </w:rPr>
              <w:t>3</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2</w:t>
            </w:r>
          </w:p>
        </w:tc>
        <w:tc>
          <w:tcPr>
            <w:tcW w:type="dxa" w:w="963"/>
          </w:tcPr>
          <w:p>
            <w:pPr>
              <w:spacing w:after="20"/>
              <w:jc w:val="center"/>
            </w:pPr>
            <w:r/>
            <w:r>
              <w:rPr>
                <w:rFonts w:ascii="Times New Roman" w:hAnsi="Times New Roman"/>
                <w:b w:val="0"/>
                <w:sz w:val="18"/>
              </w:rPr>
              <w:t>7</w:t>
            </w:r>
          </w:p>
        </w:tc>
        <w:tc>
          <w:tcPr>
            <w:tcW w:type="dxa" w:w="850"/>
          </w:tcPr>
          <w:p>
            <w:pPr>
              <w:spacing w:after="20"/>
              <w:jc w:val="center"/>
            </w:pPr>
            <w:r/>
            <w:r>
              <w:rPr>
                <w:rFonts w:ascii="Times New Roman" w:hAnsi="Times New Roman"/>
                <w:b w:val="0"/>
                <w:sz w:val="18"/>
              </w:rPr>
              <w:t>17,5%</w:t>
            </w:r>
          </w:p>
        </w:tc>
      </w:tr>
      <w:tr>
        <w:tc>
          <w:tcPr>
            <w:tcW w:type="dxa" w:w="510"/>
          </w:tcPr>
          <w:p>
            <w:pPr>
              <w:spacing w:after="20"/>
              <w:jc w:val="center"/>
            </w:pPr>
            <w:r/>
            <w:r>
              <w:rPr>
                <w:rFonts w:ascii="Times New Roman" w:hAnsi="Times New Roman"/>
                <w:b w:val="0"/>
                <w:sz w:val="18"/>
              </w:rPr>
              <w:t>2</w:t>
            </w:r>
          </w:p>
        </w:tc>
        <w:tc>
          <w:tcPr>
            <w:tcW w:type="dxa" w:w="1600"/>
          </w:tcPr>
          <w:p>
            <w:pPr>
              <w:spacing w:after="20"/>
              <w:jc w:val="left"/>
            </w:pPr>
            <w:r/>
            <w:r>
              <w:rPr>
                <w:rFonts w:ascii="Times New Roman" w:hAnsi="Times New Roman"/>
                <w:b/>
                <w:sz w:val="18"/>
              </w:rPr>
              <w:t>Ngữ âm</w:t>
            </w:r>
          </w:p>
        </w:tc>
        <w:tc>
          <w:tcPr>
            <w:tcW w:type="dxa" w:w="9259"/>
          </w:tcPr>
          <w:p>
            <w:pPr>
              <w:spacing w:after="20"/>
              <w:jc w:val="left"/>
            </w:pPr>
            <w:r/>
            <w:r>
              <w:rPr>
                <w:rFonts w:ascii="Times New Roman" w:hAnsi="Times New Roman"/>
                <w:b w:val="0"/>
                <w:sz w:val="18"/>
              </w:rPr>
              <w:t>Pronunciation: homophones; linking /r/ between two vowels (Units 6–7)</w:t>
            </w:r>
          </w:p>
        </w:tc>
        <w:tc>
          <w:tcPr>
            <w:tcW w:type="dxa" w:w="652"/>
          </w:tcPr>
          <w:p>
            <w:pPr>
              <w:spacing w:after="20"/>
              <w:jc w:val="center"/>
            </w:pPr>
            <w:r/>
            <w:r>
              <w:rPr>
                <w:rFonts w:ascii="Times New Roman" w:hAnsi="Times New Roman"/>
                <w:b w:val="0"/>
                <w:sz w:val="18"/>
              </w:rPr>
              <w:t>3</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5</w:t>
            </w:r>
          </w:p>
        </w:tc>
        <w:tc>
          <w:tcPr>
            <w:tcW w:type="dxa" w:w="850"/>
          </w:tcPr>
          <w:p>
            <w:pPr>
              <w:spacing w:after="20"/>
              <w:jc w:val="center"/>
            </w:pPr>
            <w:r/>
            <w:r>
              <w:rPr>
                <w:rFonts w:ascii="Times New Roman" w:hAnsi="Times New Roman"/>
                <w:b w:val="0"/>
                <w:sz w:val="18"/>
              </w:rPr>
              <w:t>12,5%</w:t>
            </w:r>
          </w:p>
        </w:tc>
      </w:tr>
      <w:tr>
        <w:tc>
          <w:tcPr>
            <w:tcW w:type="dxa" w:w="510"/>
          </w:tcPr>
          <w:p>
            <w:pPr>
              <w:spacing w:after="20"/>
              <w:jc w:val="center"/>
            </w:pPr>
            <w:r/>
            <w:r>
              <w:rPr>
                <w:rFonts w:ascii="Times New Roman" w:hAnsi="Times New Roman"/>
                <w:b w:val="0"/>
                <w:sz w:val="18"/>
              </w:rPr>
              <w:t>3</w:t>
            </w:r>
          </w:p>
        </w:tc>
        <w:tc>
          <w:tcPr>
            <w:tcW w:type="dxa" w:w="1600"/>
          </w:tcPr>
          <w:p>
            <w:pPr>
              <w:spacing w:after="20"/>
              <w:jc w:val="left"/>
            </w:pPr>
            <w:r/>
            <w:r>
              <w:rPr>
                <w:rFonts w:ascii="Times New Roman" w:hAnsi="Times New Roman"/>
                <w:b/>
                <w:sz w:val="18"/>
              </w:rPr>
              <w:t>Giao tiếp</w:t>
            </w:r>
          </w:p>
        </w:tc>
        <w:tc>
          <w:tcPr>
            <w:tcW w:type="dxa" w:w="9259"/>
          </w:tcPr>
          <w:p>
            <w:pPr>
              <w:spacing w:after="20"/>
              <w:jc w:val="left"/>
            </w:pPr>
            <w:r/>
            <w:r>
              <w:rPr>
                <w:rFonts w:ascii="Times New Roman" w:hAnsi="Times New Roman"/>
                <w:b w:val="0"/>
                <w:sz w:val="18"/>
              </w:rPr>
              <w:t>Communication: Everyday English (Units 6–7)</w:t>
            </w:r>
          </w:p>
        </w:tc>
        <w:tc>
          <w:tcPr>
            <w:tcW w:type="dxa" w:w="652"/>
          </w:tcPr>
          <w:p>
            <w:pPr>
              <w:spacing w:after="20"/>
              <w:jc w:val="center"/>
            </w:pPr>
            <w:r/>
            <w:r>
              <w:rPr>
                <w:rFonts w:ascii="Times New Roman" w:hAnsi="Times New Roman"/>
                <w:b w:val="0"/>
                <w:sz w:val="18"/>
              </w:rPr>
              <w:t>3</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5</w:t>
            </w:r>
          </w:p>
        </w:tc>
        <w:tc>
          <w:tcPr>
            <w:tcW w:type="dxa" w:w="850"/>
          </w:tcPr>
          <w:p>
            <w:pPr>
              <w:spacing w:after="20"/>
              <w:jc w:val="center"/>
            </w:pPr>
            <w:r/>
            <w:r>
              <w:rPr>
                <w:rFonts w:ascii="Times New Roman" w:hAnsi="Times New Roman"/>
                <w:b w:val="0"/>
                <w:sz w:val="18"/>
              </w:rPr>
              <w:t>12,5%</w:t>
            </w:r>
          </w:p>
        </w:tc>
      </w:tr>
      <w:tr>
        <w:tc>
          <w:tcPr>
            <w:tcW w:type="dxa" w:w="510"/>
          </w:tcPr>
          <w:p>
            <w:pPr>
              <w:spacing w:after="20"/>
              <w:jc w:val="center"/>
            </w:pPr>
            <w:r/>
            <w:r>
              <w:rPr>
                <w:rFonts w:ascii="Times New Roman" w:hAnsi="Times New Roman"/>
                <w:b w:val="0"/>
                <w:sz w:val="18"/>
              </w:rPr>
              <w:t>4</w:t>
            </w:r>
          </w:p>
        </w:tc>
        <w:tc>
          <w:tcPr>
            <w:tcW w:type="dxa" w:w="1600"/>
          </w:tcPr>
          <w:p>
            <w:pPr>
              <w:spacing w:after="20"/>
              <w:jc w:val="left"/>
            </w:pPr>
            <w:r/>
            <w:r>
              <w:rPr>
                <w:rFonts w:ascii="Times New Roman" w:hAnsi="Times New Roman"/>
                <w:b/>
                <w:sz w:val="18"/>
              </w:rPr>
              <w:t>Đọc hiểu</w:t>
            </w:r>
          </w:p>
        </w:tc>
        <w:tc>
          <w:tcPr>
            <w:tcW w:type="dxa" w:w="9259"/>
          </w:tcPr>
          <w:p>
            <w:pPr>
              <w:spacing w:after="20"/>
              <w:jc w:val="left"/>
            </w:pPr>
            <w:r/>
            <w:r>
              <w:rPr>
                <w:rFonts w:ascii="Times New Roman" w:hAnsi="Times New Roman"/>
                <w:b w:val="0"/>
                <w:sz w:val="18"/>
              </w:rPr>
              <w:t>Reading: texts on the topics of Units 6–7</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5</w:t>
            </w:r>
          </w:p>
        </w:tc>
        <w:tc>
          <w:tcPr>
            <w:tcW w:type="dxa" w:w="963"/>
          </w:tcPr>
          <w:p>
            <w:pPr>
              <w:spacing w:after="20"/>
              <w:jc w:val="center"/>
            </w:pPr>
            <w:r/>
            <w:r>
              <w:rPr>
                <w:rFonts w:ascii="Times New Roman" w:hAnsi="Times New Roman"/>
                <w:b w:val="0"/>
                <w:sz w:val="18"/>
              </w:rPr>
              <w:t>9</w:t>
            </w:r>
          </w:p>
        </w:tc>
        <w:tc>
          <w:tcPr>
            <w:tcW w:type="dxa" w:w="850"/>
          </w:tcPr>
          <w:p>
            <w:pPr>
              <w:spacing w:after="20"/>
              <w:jc w:val="center"/>
            </w:pPr>
            <w:r/>
            <w:r>
              <w:rPr>
                <w:rFonts w:ascii="Times New Roman" w:hAnsi="Times New Roman"/>
                <w:b w:val="0"/>
                <w:sz w:val="18"/>
              </w:rPr>
              <w:t>22,5%</w:t>
            </w:r>
          </w:p>
        </w:tc>
      </w:tr>
      <w:tr>
        <w:tc>
          <w:tcPr>
            <w:tcW w:type="dxa" w:w="510"/>
          </w:tcPr>
          <w:p>
            <w:pPr>
              <w:spacing w:after="20"/>
              <w:jc w:val="center"/>
            </w:pPr>
            <w:r/>
            <w:r>
              <w:rPr>
                <w:rFonts w:ascii="Times New Roman" w:hAnsi="Times New Roman"/>
                <w:b w:val="0"/>
                <w:sz w:val="18"/>
              </w:rPr>
              <w:t>5</w:t>
            </w:r>
          </w:p>
        </w:tc>
        <w:tc>
          <w:tcPr>
            <w:tcW w:type="dxa" w:w="1600"/>
          </w:tcPr>
          <w:p>
            <w:pPr>
              <w:spacing w:after="20"/>
              <w:jc w:val="left"/>
            </w:pPr>
            <w:r/>
            <w:r>
              <w:rPr>
                <w:rFonts w:ascii="Times New Roman" w:hAnsi="Times New Roman"/>
                <w:b/>
                <w:sz w:val="18"/>
              </w:rPr>
              <w:t>Viết</w:t>
            </w:r>
          </w:p>
        </w:tc>
        <w:tc>
          <w:tcPr>
            <w:tcW w:type="dxa" w:w="9259"/>
          </w:tcPr>
          <w:p>
            <w:pPr>
              <w:spacing w:after="20"/>
              <w:jc w:val="left"/>
            </w:pPr>
            <w:r/>
            <w:r>
              <w:rPr>
                <w:rFonts w:ascii="Times New Roman" w:hAnsi="Times New Roman"/>
                <w:b w:val="0"/>
                <w:sz w:val="18"/>
              </w:rPr>
              <w:t>Writing: sentence transformation, word and sentence order (Units 6–7)</w:t>
            </w:r>
          </w:p>
        </w:tc>
        <w:tc>
          <w:tcPr>
            <w:tcW w:type="dxa" w:w="652"/>
          </w:tcPr>
          <w:p>
            <w:pPr>
              <w:spacing w:after="20"/>
              <w:jc w:val="center"/>
            </w:pPr>
            <w:r/>
            <w:r>
              <w:rPr>
                <w:rFonts w:ascii="Times New Roman" w:hAnsi="Times New Roman"/>
                <w:b w:val="0"/>
                <w:sz w:val="18"/>
              </w:rPr>
              <w:t>3</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2</w:t>
            </w:r>
          </w:p>
        </w:tc>
        <w:tc>
          <w:tcPr>
            <w:tcW w:type="dxa" w:w="963"/>
          </w:tcPr>
          <w:p>
            <w:pPr>
              <w:spacing w:after="20"/>
              <w:jc w:val="center"/>
            </w:pPr>
            <w:r/>
            <w:r>
              <w:rPr>
                <w:rFonts w:ascii="Times New Roman" w:hAnsi="Times New Roman"/>
                <w:b w:val="0"/>
                <w:sz w:val="18"/>
              </w:rPr>
              <w:t>7</w:t>
            </w:r>
          </w:p>
        </w:tc>
        <w:tc>
          <w:tcPr>
            <w:tcW w:type="dxa" w:w="850"/>
          </w:tcPr>
          <w:p>
            <w:pPr>
              <w:spacing w:after="20"/>
              <w:jc w:val="center"/>
            </w:pPr>
            <w:r/>
            <w:r>
              <w:rPr>
                <w:rFonts w:ascii="Times New Roman" w:hAnsi="Times New Roman"/>
                <w:b w:val="0"/>
                <w:sz w:val="18"/>
              </w:rPr>
              <w:t>17,5%</w:t>
            </w:r>
          </w:p>
        </w:tc>
      </w:tr>
      <w:tr>
        <w:tc>
          <w:tcPr>
            <w:tcW w:type="dxa" w:w="11369"/>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16</w:t>
            </w:r>
          </w:p>
        </w:tc>
        <w:tc>
          <w:tcPr>
            <w:tcW w:type="dxa" w:w="652"/>
            <w:shd w:val="clear" w:color="auto" w:fill="F2F2F2"/>
          </w:tcPr>
          <w:p>
            <w:pPr>
              <w:spacing w:after="20"/>
              <w:jc w:val="center"/>
            </w:pPr>
            <w:r/>
            <w:r>
              <w:rPr>
                <w:rFonts w:ascii="Times New Roman" w:hAnsi="Times New Roman"/>
                <w:b/>
                <w:sz w:val="18"/>
              </w:rPr>
              <w:t>12</w:t>
            </w:r>
          </w:p>
        </w:tc>
        <w:tc>
          <w:tcPr>
            <w:tcW w:type="dxa" w:w="652"/>
            <w:shd w:val="clear" w:color="auto" w:fill="F2F2F2"/>
          </w:tcPr>
          <w:p>
            <w:pPr>
              <w:spacing w:after="20"/>
              <w:jc w:val="center"/>
            </w:pPr>
            <w:r/>
            <w:r>
              <w:rPr>
                <w:rFonts w:ascii="Times New Roman" w:hAnsi="Times New Roman"/>
                <w:b/>
                <w:sz w:val="18"/>
              </w:rPr>
              <w:t>12</w:t>
            </w:r>
          </w:p>
        </w:tc>
        <w:tc>
          <w:tcPr>
            <w:tcW w:type="dxa" w:w="963"/>
            <w:shd w:val="clear" w:color="auto" w:fill="F2F2F2"/>
          </w:tcPr>
          <w:p>
            <w:pPr>
              <w:spacing w:after="20"/>
              <w:jc w:val="center"/>
            </w:pPr>
            <w:r/>
            <w:r>
              <w:rPr>
                <w:rFonts w:ascii="Times New Roman" w:hAnsi="Times New Roman"/>
                <w:b/>
                <w:sz w:val="18"/>
              </w:rPr>
              <w:t>40</w:t>
            </w:r>
          </w:p>
        </w:tc>
        <w:tc>
          <w:tcPr>
            <w:tcW w:type="dxa" w:w="850"/>
            <w:shd w:val="clear" w:color="auto" w:fill="F2F2F2"/>
          </w:tcPr>
          <w:p>
            <w:pPr>
              <w:spacing w:after="20"/>
              <w:jc w:val="center"/>
            </w:pPr>
            <w:r/>
            <w:r>
              <w:rPr>
                <w:rFonts w:ascii="Times New Roman" w:hAnsi="Times New Roman"/>
                <w:b/>
                <w:sz w:val="18"/>
              </w:rPr>
              <w:t>100%</w:t>
            </w:r>
          </w:p>
        </w:tc>
      </w:tr>
      <w:tr>
        <w:tc>
          <w:tcPr>
            <w:tcW w:type="dxa" w:w="11369"/>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10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11369"/>
            <w:gridSpan w:val="3"/>
            <w:shd w:val="clear" w:color="auto" w:fill="F2F2F2"/>
          </w:tcPr>
          <w:p>
            <w:pPr>
              <w:spacing w:after="20"/>
              <w:jc w:val="left"/>
            </w:pPr>
            <w:r/>
            <w:r>
              <w:rPr>
                <w:rFonts w:ascii="Times New Roman" w:hAnsi="Times New Roman"/>
                <w:b/>
                <w:sz w:val="18"/>
              </w:rPr>
              <w:t>Tỉ lệ theo mức độ (NB – TH – VD)</w:t>
            </w:r>
          </w:p>
        </w:tc>
        <w:tc>
          <w:tcPr>
            <w:tcW w:type="dxa" w:w="3769"/>
            <w:gridSpan w:val="5"/>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0,25 điểm.</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9640"/>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9640"/>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1701"/>
            <w:gridSpan w:val="3"/>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9640"/>
            <w:vMerge/>
          </w:tcPr>
          <w:p/>
        </w:tc>
        <w:tc>
          <w:tcPr>
            <w:tcW w:type="dxa" w:w="1701"/>
            <w:gridSpan w:val="3"/>
            <w:shd w:val="clear" w:color="auto" w:fill="D9E2F3"/>
          </w:tcPr>
          <w:p>
            <w:pPr>
              <w:spacing w:after="20"/>
              <w:jc w:val="center"/>
            </w:pPr>
            <w:r/>
            <w:r>
              <w:rPr>
                <w:rFonts w:ascii="Times New Roman" w:hAnsi="Times New Roman"/>
                <w:b/>
                <w:sz w:val="18"/>
              </w:rPr>
              <w:t>TN nhiều lựa chọn</w:t>
            </w:r>
          </w:p>
        </w:tc>
      </w:tr>
      <w:tr>
        <w:tc>
          <w:tcPr>
            <w:tcW w:type="dxa" w:w="510"/>
            <w:vMerge/>
          </w:tcPr>
          <w:p/>
        </w:tc>
        <w:tc>
          <w:tcPr>
            <w:tcW w:type="dxa" w:w="1360"/>
            <w:vMerge/>
          </w:tcPr>
          <w:p/>
        </w:tc>
        <w:tc>
          <w:tcPr>
            <w:tcW w:type="dxa" w:w="1927"/>
            <w:vMerge/>
          </w:tcPr>
          <w:p/>
        </w:tc>
        <w:tc>
          <w:tcPr>
            <w:tcW w:type="dxa" w:w="9640"/>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vMerge w:val="restart"/>
          </w:tcPr>
          <w:p>
            <w:pPr>
              <w:spacing w:after="20"/>
              <w:jc w:val="center"/>
            </w:pPr>
            <w:r/>
            <w:r>
              <w:rPr>
                <w:rFonts w:ascii="Times New Roman" w:hAnsi="Times New Roman"/>
                <w:b w:val="0"/>
                <w:sz w:val="18"/>
              </w:rPr>
              <w:t>1</w:t>
            </w:r>
          </w:p>
        </w:tc>
        <w:tc>
          <w:tcPr>
            <w:tcW w:type="dxa" w:w="1360"/>
            <w:vMerge w:val="restart"/>
          </w:tcPr>
          <w:p>
            <w:pPr>
              <w:spacing w:after="20"/>
              <w:jc w:val="left"/>
            </w:pPr>
            <w:r/>
            <w:r>
              <w:rPr>
                <w:rFonts w:ascii="Times New Roman" w:hAnsi="Times New Roman"/>
                <w:b/>
                <w:sz w:val="18"/>
              </w:rPr>
              <w:t>Từ vựng – Ngữ pháp theo chủ điểm</w:t>
            </w:r>
          </w:p>
        </w:tc>
        <w:tc>
          <w:tcPr>
            <w:tcW w:type="dxa" w:w="1927"/>
          </w:tcPr>
          <w:p>
            <w:pPr>
              <w:spacing w:after="20"/>
              <w:jc w:val="left"/>
            </w:pPr>
            <w:r/>
            <w:r>
              <w:rPr>
                <w:rFonts w:ascii="Times New Roman" w:hAnsi="Times New Roman"/>
                <w:b w:val="0"/>
                <w:sz w:val="18"/>
              </w:rPr>
              <w:t>Unit 6: Artificial intelligence</w:t>
            </w:r>
          </w:p>
        </w:tc>
        <w:tc>
          <w:tcPr>
            <w:tcW w:type="dxa" w:w="9640"/>
          </w:tcPr>
          <w:p>
            <w:r/>
            <w:r>
              <w:rPr>
                <w:b/>
                <w:sz w:val="18"/>
              </w:rPr>
              <w:t>Nhận biết:</w:t>
            </w:r>
          </w:p>
          <w:p>
            <w:pPr>
              <w:spacing w:after="0"/>
            </w:pPr>
            <w:r>
              <w:rPr>
                <w:sz w:val="18"/>
              </w:rPr>
              <w:t>- Nhận biết được từ vựng về khoa học và công nghệ, trí tuệ nhân tạo (Unit 6).</w:t>
            </w:r>
          </w:p>
          <w:p>
            <w:pPr>
              <w:spacing w:after="0"/>
            </w:pPr>
            <w:r>
              <w:rPr>
                <w:sz w:val="18"/>
              </w:rPr>
              <w:t>- Nhận biết được thể nhờ bảo (causative) chủ động và bị động (Unit 6).</w:t>
            </w:r>
          </w:p>
          <w:p>
            <w:r>
              <w:rPr>
                <w:b/>
                <w:sz w:val="18"/>
              </w:rPr>
              <w:t>Thông hiểu:</w:t>
            </w:r>
          </w:p>
          <w:p>
            <w:pPr>
              <w:spacing w:after="0"/>
            </w:pPr>
            <w:r>
              <w:rPr>
                <w:sz w:val="18"/>
              </w:rPr>
              <w:t>- Phân biệt được nghĩa và cách dùng từ vựng về chủ điểm "Artificial intelligence" trong ngữ cảnh (Unit 6).</w:t>
            </w:r>
          </w:p>
          <w:p>
            <w:pPr>
              <w:spacing w:after="0"/>
            </w:pPr>
            <w:r>
              <w:rPr>
                <w:sz w:val="18"/>
              </w:rPr>
              <w:t>- Hiểu và sử dụng đúng thể nhờ bảo (causative) chủ động và bị động trong ngữ cảnh (Unit 6).</w:t>
            </w:r>
          </w:p>
          <w:p>
            <w:r>
              <w:rPr>
                <w:b/>
                <w:sz w:val="18"/>
              </w:rPr>
              <w:t>Vận dụng:</w:t>
            </w:r>
          </w:p>
          <w:p>
            <w:pPr>
              <w:spacing w:after="0"/>
            </w:pPr>
            <w:r>
              <w:rPr>
                <w:sz w:val="18"/>
              </w:rPr>
              <w:t>- Vận dụng thể nhờ bảo (causative) chủ động và bị động cùng từ vựng chủ điểm "Artificial intelligence" để hoàn thành câu, viết lại câu (Unit 6).</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3</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7: The world of mass media</w:t>
            </w:r>
          </w:p>
        </w:tc>
        <w:tc>
          <w:tcPr>
            <w:tcW w:type="dxa" w:w="9640"/>
          </w:tcPr>
          <w:p>
            <w:r/>
            <w:r>
              <w:rPr>
                <w:b/>
                <w:sz w:val="18"/>
              </w:rPr>
              <w:t>Nhận biết:</w:t>
            </w:r>
          </w:p>
          <w:p>
            <w:pPr>
              <w:spacing w:after="0"/>
            </w:pPr>
            <w:r>
              <w:rPr>
                <w:sz w:val="18"/>
              </w:rPr>
              <w:t>- Nhận biết được từ vựng về phương tiện truyền thông đại chúng (Unit 7).</w:t>
            </w:r>
          </w:p>
          <w:p>
            <w:pPr>
              <w:spacing w:after="0"/>
            </w:pPr>
            <w:r>
              <w:rPr>
                <w:sz w:val="18"/>
              </w:rPr>
              <w:t>- Nhận biết được mệnh đề trạng ngữ chỉ cách thức và kết quả (Unit 7).</w:t>
            </w:r>
          </w:p>
          <w:p>
            <w:r>
              <w:rPr>
                <w:b/>
                <w:sz w:val="18"/>
              </w:rPr>
              <w:t>Thông hiểu:</w:t>
            </w:r>
          </w:p>
          <w:p>
            <w:pPr>
              <w:spacing w:after="0"/>
            </w:pPr>
            <w:r>
              <w:rPr>
                <w:sz w:val="18"/>
              </w:rPr>
              <w:t>- Phân biệt được nghĩa và cách dùng từ vựng về chủ điểm "The world of mass media" trong ngữ cảnh (Unit 7).</w:t>
            </w:r>
          </w:p>
          <w:p>
            <w:pPr>
              <w:spacing w:after="0"/>
            </w:pPr>
            <w:r>
              <w:rPr>
                <w:sz w:val="18"/>
              </w:rPr>
              <w:t>- Hiểu và sử dụng đúng mệnh đề trạng ngữ chỉ cách thức và kết quả trong ngữ cảnh (Unit 7).</w:t>
            </w:r>
          </w:p>
          <w:p>
            <w:r>
              <w:rPr>
                <w:b/>
                <w:sz w:val="18"/>
              </w:rPr>
              <w:t>Vận dụng:</w:t>
            </w:r>
          </w:p>
          <w:p>
            <w:pPr>
              <w:spacing w:after="0"/>
            </w:pPr>
            <w:r>
              <w:rPr>
                <w:sz w:val="18"/>
              </w:rPr>
              <w:t>- Vận dụng mệnh đề trạng ngữ chỉ cách thức và kết quả cùng từ vựng chủ điểm "The world of mass media" để hoàn thành câu, viết lại câu (Unit 7).</w:t>
            </w:r>
          </w:p>
        </w:tc>
        <w:tc>
          <w:tcPr>
            <w:tcW w:type="dxa" w:w="567"/>
          </w:tcPr>
          <w:p>
            <w:pPr>
              <w:spacing w:after="20"/>
              <w:jc w:val="center"/>
            </w:pPr>
            <w:r/>
            <w:r>
              <w:rPr>
                <w:rFonts w:ascii="Times New Roman" w:hAnsi="Times New Roman"/>
                <w:b w:val="0"/>
                <w:sz w:val="18"/>
              </w:rPr>
              <w:t>3</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2</w:t>
            </w:r>
          </w:p>
        </w:tc>
      </w:tr>
      <w:tr>
        <w:tc>
          <w:tcPr>
            <w:tcW w:type="dxa" w:w="510"/>
          </w:tcPr>
          <w:p>
            <w:pPr>
              <w:spacing w:after="20"/>
              <w:jc w:val="center"/>
            </w:pPr>
            <w:r/>
            <w:r>
              <w:rPr>
                <w:rFonts w:ascii="Times New Roman" w:hAnsi="Times New Roman"/>
                <w:b w:val="0"/>
                <w:sz w:val="18"/>
              </w:rPr>
              <w:t>2</w:t>
            </w:r>
          </w:p>
        </w:tc>
        <w:tc>
          <w:tcPr>
            <w:tcW w:type="dxa" w:w="1360"/>
          </w:tcPr>
          <w:p>
            <w:pPr>
              <w:spacing w:after="20"/>
              <w:jc w:val="left"/>
            </w:pPr>
            <w:r/>
            <w:r>
              <w:rPr>
                <w:rFonts w:ascii="Times New Roman" w:hAnsi="Times New Roman"/>
                <w:b/>
                <w:sz w:val="18"/>
              </w:rPr>
              <w:t>Ngữ âm</w:t>
            </w:r>
          </w:p>
        </w:tc>
        <w:tc>
          <w:tcPr>
            <w:tcW w:type="dxa" w:w="1927"/>
          </w:tcPr>
          <w:p>
            <w:pPr>
              <w:spacing w:after="20"/>
              <w:jc w:val="left"/>
            </w:pPr>
            <w:r/>
            <w:r>
              <w:rPr>
                <w:rFonts w:ascii="Times New Roman" w:hAnsi="Times New Roman"/>
                <w:b w:val="0"/>
                <w:sz w:val="18"/>
              </w:rPr>
              <w:t>Pronunciation: homophones; linking /r/ between two vowels (Units 6–7)</w:t>
            </w:r>
          </w:p>
        </w:tc>
        <w:tc>
          <w:tcPr>
            <w:tcW w:type="dxa" w:w="9640"/>
          </w:tcPr>
          <w:p>
            <w:r/>
            <w:r>
              <w:rPr>
                <w:b/>
                <w:sz w:val="18"/>
              </w:rPr>
              <w:t>Nhận biết:</w:t>
            </w:r>
          </w:p>
          <w:p>
            <w:pPr>
              <w:spacing w:after="0"/>
            </w:pPr>
            <w:r>
              <w:rPr>
                <w:sz w:val="18"/>
              </w:rPr>
              <w:t>- Nhận biết được từ đồng âm; âm nối /r/ giữa hai nguyên âm (Units 6–7).</w:t>
            </w:r>
          </w:p>
          <w:p>
            <w:pPr>
              <w:spacing w:after="0"/>
            </w:pPr>
            <w:r>
              <w:rPr>
                <w:sz w:val="18"/>
              </w:rPr>
              <w:t>- Nhận biết cách phát âm, trọng âm của từ vựng thuộc chủ điểm trí tuệ nhân tạo; truyền thông đại chúng.</w:t>
            </w:r>
          </w:p>
          <w:p>
            <w:r>
              <w:rPr>
                <w:b/>
                <w:sz w:val="18"/>
              </w:rPr>
              <w:t>Thông hiểu:</w:t>
            </w:r>
          </w:p>
          <w:p>
            <w:pPr>
              <w:spacing w:after="0"/>
            </w:pPr>
            <w:r>
              <w:rPr>
                <w:sz w:val="18"/>
              </w:rPr>
              <w:t>- Phân biệt được cách phát âm và trọng âm của từ vựng đã học trong Units 6–7.</w:t>
            </w:r>
          </w:p>
        </w:tc>
        <w:tc>
          <w:tcPr>
            <w:tcW w:type="dxa" w:w="567"/>
          </w:tcPr>
          <w:p>
            <w:pPr>
              <w:spacing w:after="20"/>
              <w:jc w:val="center"/>
            </w:pPr>
            <w:r/>
            <w:r>
              <w:rPr>
                <w:rFonts w:ascii="Times New Roman" w:hAnsi="Times New Roman"/>
                <w:b w:val="0"/>
                <w:sz w:val="18"/>
              </w:rPr>
              <w:t>3</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3</w:t>
            </w:r>
          </w:p>
        </w:tc>
        <w:tc>
          <w:tcPr>
            <w:tcW w:type="dxa" w:w="1360"/>
          </w:tcPr>
          <w:p>
            <w:pPr>
              <w:spacing w:after="20"/>
              <w:jc w:val="left"/>
            </w:pPr>
            <w:r/>
            <w:r>
              <w:rPr>
                <w:rFonts w:ascii="Times New Roman" w:hAnsi="Times New Roman"/>
                <w:b/>
                <w:sz w:val="18"/>
              </w:rPr>
              <w:t>Giao tiếp</w:t>
            </w:r>
          </w:p>
        </w:tc>
        <w:tc>
          <w:tcPr>
            <w:tcW w:type="dxa" w:w="1927"/>
          </w:tcPr>
          <w:p>
            <w:pPr>
              <w:spacing w:after="20"/>
              <w:jc w:val="left"/>
            </w:pPr>
            <w:r/>
            <w:r>
              <w:rPr>
                <w:rFonts w:ascii="Times New Roman" w:hAnsi="Times New Roman"/>
                <w:b w:val="0"/>
                <w:sz w:val="18"/>
              </w:rPr>
              <w:t>Communication: Everyday English (Units 6–7)</w:t>
            </w:r>
          </w:p>
        </w:tc>
        <w:tc>
          <w:tcPr>
            <w:tcW w:type="dxa" w:w="9640"/>
          </w:tcPr>
          <w:p>
            <w:r/>
            <w:r>
              <w:rPr>
                <w:b/>
                <w:sz w:val="18"/>
              </w:rPr>
              <w:t>Nhận biết:</w:t>
            </w:r>
          </w:p>
          <w:p>
            <w:pPr>
              <w:spacing w:after="0"/>
            </w:pPr>
            <w:r>
              <w:rPr>
                <w:sz w:val="18"/>
              </w:rPr>
              <w:t>- Nhận biết được câu hỏi, câu đáp phù hợp trong các tình huống giao tiếp về trí tuệ nhân tạo; truyền thông đại chúng (Units 6–7).</w:t>
            </w:r>
          </w:p>
          <w:p>
            <w:r>
              <w:rPr>
                <w:b/>
                <w:sz w:val="18"/>
              </w:rPr>
              <w:t>Thông hiểu:</w:t>
            </w:r>
          </w:p>
          <w:p>
            <w:pPr>
              <w:spacing w:after="0"/>
            </w:pPr>
            <w:r>
              <w:rPr>
                <w:sz w:val="18"/>
              </w:rPr>
              <w:t>- Hiểu ý định giao tiếp, chọn được lời đáp phù hợp trong hội thoại ngắn về trí tuệ nhân tạo; truyền thông đại chúng (Units 6–7).</w:t>
            </w:r>
          </w:p>
        </w:tc>
        <w:tc>
          <w:tcPr>
            <w:tcW w:type="dxa" w:w="567"/>
          </w:tcPr>
          <w:p>
            <w:pPr>
              <w:spacing w:after="20"/>
              <w:jc w:val="center"/>
            </w:pPr>
            <w:r/>
            <w:r>
              <w:rPr>
                <w:rFonts w:ascii="Times New Roman" w:hAnsi="Times New Roman"/>
                <w:b w:val="0"/>
                <w:sz w:val="18"/>
              </w:rPr>
              <w:t>3</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4</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Reading: texts on the topics of Units 6–7</w:t>
            </w:r>
          </w:p>
        </w:tc>
        <w:tc>
          <w:tcPr>
            <w:tcW w:type="dxa" w:w="9640"/>
          </w:tcPr>
          <w:p>
            <w:r/>
            <w:r>
              <w:rPr>
                <w:b/>
                <w:sz w:val="18"/>
              </w:rPr>
              <w:t>Nhận biết:</w:t>
            </w:r>
          </w:p>
          <w:p>
            <w:pPr>
              <w:spacing w:after="0"/>
            </w:pPr>
            <w:r>
              <w:rPr>
                <w:sz w:val="18"/>
              </w:rPr>
              <w:t>- Nhận biết thông tin chi tiết, từ vựng trong bài đọc, đoạn văn điền từ về trí tuệ nhân tạo; truyền thông đại chúng (Units 6–7).</w:t>
            </w:r>
          </w:p>
          <w:p>
            <w:r>
              <w:rPr>
                <w:b/>
                <w:sz w:val="18"/>
              </w:rPr>
              <w:t>Thông hiểu:</w:t>
            </w:r>
          </w:p>
          <w:p>
            <w:pPr>
              <w:spacing w:after="0"/>
            </w:pPr>
            <w:r>
              <w:rPr>
                <w:sz w:val="18"/>
              </w:rPr>
              <w:t>- Hiểu ý chính, suy luận nghĩa của từ và từ quy chiếu trong bài đọc về trí tuệ nhân tạo; truyền thông đại chúng.</w:t>
            </w:r>
          </w:p>
          <w:p>
            <w:r>
              <w:rPr>
                <w:b/>
                <w:sz w:val="18"/>
              </w:rPr>
              <w:t>Vận dụng:</w:t>
            </w:r>
          </w:p>
          <w:p>
            <w:pPr>
              <w:spacing w:after="0"/>
            </w:pPr>
            <w:r>
              <w:rPr>
                <w:sz w:val="18"/>
              </w:rPr>
              <w:t>- Vận dụng kĩ năng đọc để suy luận, rút ra thông tin, kết luận từ đoạn văn mới về các chủ điểm của Units 6–7.</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5</w:t>
            </w:r>
          </w:p>
        </w:tc>
        <w:tc>
          <w:tcPr>
            <w:tcW w:type="dxa" w:w="1360"/>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Writing: sentence transformation, word and sentence order (Units 6–7)</w:t>
            </w:r>
          </w:p>
        </w:tc>
        <w:tc>
          <w:tcPr>
            <w:tcW w:type="dxa" w:w="9640"/>
          </w:tcPr>
          <w:p>
            <w:r/>
            <w:r>
              <w:rPr>
                <w:b/>
                <w:sz w:val="18"/>
              </w:rPr>
              <w:t>Nhận biết:</w:t>
            </w:r>
          </w:p>
          <w:p>
            <w:pPr>
              <w:spacing w:after="0"/>
            </w:pPr>
            <w:r>
              <w:rPr>
                <w:sz w:val="18"/>
              </w:rPr>
              <w:t>- Nhận biết được trật tự từ, cấu trúc câu với thể nhờ bảo (causative) chủ động và bị động; mệnh đề trạng ngữ chỉ cách thức và kết quả (Units 6–7).</w:t>
            </w:r>
          </w:p>
          <w:p>
            <w:r>
              <w:rPr>
                <w:b/>
                <w:sz w:val="18"/>
              </w:rPr>
              <w:t>Thông hiểu:</w:t>
            </w:r>
          </w:p>
          <w:p>
            <w:pPr>
              <w:spacing w:after="0"/>
            </w:pPr>
            <w:r>
              <w:rPr>
                <w:sz w:val="18"/>
              </w:rPr>
              <w:t>- Viết lại câu giữ nguyên nghĩa, kết hợp câu dùng cấu trúc ngữ pháp của Units 6–7.</w:t>
            </w:r>
          </w:p>
          <w:p>
            <w:r>
              <w:rPr>
                <w:b/>
                <w:sz w:val="18"/>
              </w:rPr>
              <w:t>Vận dụng:</w:t>
            </w:r>
          </w:p>
          <w:p>
            <w:pPr>
              <w:spacing w:after="0"/>
            </w:pPr>
            <w:r>
              <w:rPr>
                <w:sz w:val="18"/>
              </w:rPr>
              <w:t>- Sắp xếp từ, câu thành câu và đoạn ngắn hoàn chỉnh về trí tuệ nhân tạo; truyền thông đại chúng.</w:t>
            </w:r>
          </w:p>
        </w:tc>
        <w:tc>
          <w:tcPr>
            <w:tcW w:type="dxa" w:w="567"/>
          </w:tcPr>
          <w:p>
            <w:pPr>
              <w:spacing w:after="20"/>
              <w:jc w:val="center"/>
            </w:pPr>
            <w:r/>
            <w:r>
              <w:rPr>
                <w:rFonts w:ascii="Times New Roman" w:hAnsi="Times New Roman"/>
                <w:b w:val="0"/>
                <w:sz w:val="18"/>
              </w:rPr>
              <w:t>3</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2</w:t>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smarttest.vn/vi/ma-tran-de-kiem-tra/lop-12/tieng-anh/giua-ki-2</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12/tieng-anh/giua-ki-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giữa học kì ii Tiếng Anh 12</dc:title>
  <dc:subject>Tiếng Anh 12 – Kết nối tri thức</dc:subject>
  <dc:creator>SmartTest</dc:creator>
  <cp:keywords>ma trận đề kiểm tra, bản đặc tả, tiếng anh 12, giữa học kì ii</cp:keywords>
  <dc:description/>
  <cp:lastModifiedBy>SmartTest</cp:lastModifiedBy>
  <cp:revision>1</cp:revision>
  <dcterms:created xsi:type="dcterms:W3CDTF">2026-10-30T05:28:20Z</dcterms:created>
  <dcterms:modified xsi:type="dcterms:W3CDTF">2026-10-30T05:28:20Z</dcterms:modified>
  <cp:category/>
</cp:coreProperties>
</file>