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CUỐI HỌC KÌ II – NĂM HỌC 2026-2027</w:t>
      </w:r>
    </w:p>
    <w:p>
      <w:pPr>
        <w:spacing w:after="40"/>
        <w:jc w:val="center"/>
      </w:pPr>
      <w:r>
        <w:rPr>
          <w:b/>
          <w:i w:val="0"/>
          <w:sz w:val="26"/>
        </w:rPr>
        <w:t>MÔN: NGỮ VĂN 9</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Cuối học kì II</w:t>
      </w:r>
    </w:p>
    <w:p>
      <w:pPr>
        <w:spacing w:after="40"/>
      </w:pPr>
      <w:r>
        <w:rPr>
          <w:b w:val="0"/>
          <w:i w:val="0"/>
          <w:sz w:val="22"/>
        </w:rPr>
        <w:t>- Thời gian làm bài: 90 phút</w:t>
      </w:r>
    </w:p>
    <w:p>
      <w:pPr>
        <w:spacing w:after="40"/>
      </w:pPr>
      <w:r>
        <w:rPr>
          <w:b w:val="0"/>
          <w:i w:val="0"/>
          <w:sz w:val="22"/>
        </w:rPr>
        <w:t>- Hình thức kiểm tra: tự luận (đọc hiểu và viết)</w:t>
      </w:r>
    </w:p>
    <w:p>
      <w:pPr>
        <w:spacing w:after="40"/>
      </w:pPr>
      <w:r>
        <w:rPr>
          <w:b w:val="0"/>
          <w:i w:val="0"/>
          <w:sz w:val="22"/>
        </w:rPr>
        <w:t>- Cấu trúc:</w:t>
      </w:r>
    </w:p>
    <w:p>
      <w:pPr>
        <w:spacing w:after="40"/>
      </w:pPr>
      <w:r>
        <w:rPr>
          <w:b w:val="0"/>
          <w:i w:val="0"/>
          <w:sz w:val="22"/>
        </w:rPr>
        <w:t xml:space="preserve">    + Phần I. Đọc hiểu: 4 câu – 4 điểm (40%)</w:t>
      </w:r>
    </w:p>
    <w:p>
      <w:pPr>
        <w:spacing w:after="40"/>
      </w:pPr>
      <w:r>
        <w:rPr>
          <w:b w:val="0"/>
          <w:i w:val="0"/>
          <w:sz w:val="22"/>
        </w:rPr>
        <w:t xml:space="preserve">    + Phần II. Viết: 2 câu (6 ý) – 6 điểm (60%)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Giải mã những bí mật; Chủ đề 2 – Hồn thơ muôn điệu; Chủ đề 3 – Tiếng nói của lương tri; Chủ đề 4 – Đi và suy ngẫm</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7303"/>
        <w:gridCol w:w="652"/>
        <w:gridCol w:w="652"/>
        <w:gridCol w:w="652"/>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7303"/>
            <w:vMerge w:val="restart"/>
            <w:shd w:val="clear" w:color="auto" w:fill="D9E2F3"/>
          </w:tcPr>
          <w:p>
            <w:pPr>
              <w:spacing w:after="20"/>
              <w:jc w:val="center"/>
            </w:pPr>
            <w:r/>
            <w:r>
              <w:rPr>
                <w:rFonts w:ascii="Times New Roman" w:hAnsi="Times New Roman"/>
                <w:b/>
                <w:sz w:val="18"/>
              </w:rPr>
              <w:t>Đơn vị kiến thức</w:t>
            </w:r>
          </w:p>
        </w:tc>
        <w:tc>
          <w:tcPr>
            <w:tcW w:type="dxa" w:w="3912"/>
            <w:gridSpan w:val="6"/>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7303"/>
            <w:vMerge/>
          </w:tcPr>
          <w:p/>
        </w:tc>
        <w:tc>
          <w:tcPr>
            <w:tcW w:type="dxa" w:w="1956"/>
            <w:gridSpan w:val="3"/>
            <w:shd w:val="clear" w:color="auto" w:fill="D9E2F3"/>
          </w:tcPr>
          <w:p>
            <w:pPr>
              <w:spacing w:after="20"/>
              <w:jc w:val="center"/>
            </w:pPr>
            <w:r/>
            <w:r>
              <w:rPr>
                <w:rFonts w:ascii="Times New Roman" w:hAnsi="Times New Roman"/>
                <w:b/>
                <w:sz w:val="18"/>
              </w:rPr>
              <w:t>Phần I: Đọc hiểu</w:t>
            </w:r>
          </w:p>
        </w:tc>
        <w:tc>
          <w:tcPr>
            <w:tcW w:type="dxa" w:w="1956"/>
            <w:gridSpan w:val="3"/>
            <w:shd w:val="clear" w:color="auto" w:fill="D9E2F3"/>
          </w:tcPr>
          <w:p>
            <w:pPr>
              <w:spacing w:after="20"/>
              <w:jc w:val="center"/>
            </w:pPr>
            <w:r/>
            <w:r>
              <w:rPr>
                <w:rFonts w:ascii="Times New Roman" w:hAnsi="Times New Roman"/>
                <w:b/>
                <w:sz w:val="18"/>
              </w:rPr>
              <w:t>Phần II: Viết (tính theo ý)</w:t>
            </w:r>
          </w:p>
        </w:tc>
        <w:tc>
          <w:tcPr>
            <w:tcW w:type="dxa" w:w="963"/>
            <w:vMerge/>
          </w:tcPr>
          <w:p/>
        </w:tc>
        <w:tc>
          <w:tcPr>
            <w:tcW w:type="dxa" w:w="850"/>
            <w:vMerge/>
          </w:tcPr>
          <w:p/>
        </w:tc>
      </w:tr>
      <w:tr>
        <w:tc>
          <w:tcPr>
            <w:tcW w:type="dxa" w:w="510"/>
            <w:vMerge/>
          </w:tcPr>
          <w:p/>
        </w:tc>
        <w:tc>
          <w:tcPr>
            <w:tcW w:type="dxa" w:w="1600"/>
            <w:vMerge/>
          </w:tcPr>
          <w:p/>
        </w:tc>
        <w:tc>
          <w:tcPr>
            <w:tcW w:type="dxa" w:w="7303"/>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tcPr>
          <w:p>
            <w:pPr>
              <w:spacing w:after="20"/>
              <w:jc w:val="center"/>
            </w:pPr>
            <w:r/>
            <w:r>
              <w:rPr>
                <w:rFonts w:ascii="Times New Roman" w:hAnsi="Times New Roman"/>
                <w:b w:val="0"/>
                <w:sz w:val="18"/>
              </w:rPr>
              <w:t>1</w:t>
            </w:r>
          </w:p>
        </w:tc>
        <w:tc>
          <w:tcPr>
            <w:tcW w:type="dxa" w:w="1600"/>
          </w:tcPr>
          <w:p>
            <w:pPr>
              <w:spacing w:after="20"/>
              <w:jc w:val="left"/>
            </w:pPr>
            <w:r/>
            <w:r>
              <w:rPr>
                <w:rFonts w:ascii="Times New Roman" w:hAnsi="Times New Roman"/>
                <w:b/>
                <w:sz w:val="18"/>
              </w:rPr>
              <w:t>Đọc hiểu</w:t>
            </w:r>
          </w:p>
        </w:tc>
        <w:tc>
          <w:tcPr>
            <w:tcW w:type="dxa" w:w="7303"/>
          </w:tcPr>
          <w:p>
            <w:pPr>
              <w:spacing w:after="20"/>
              <w:jc w:val="left"/>
            </w:pPr>
            <w:r/>
            <w:r>
              <w:rPr>
                <w:rFonts w:ascii="Times New Roman" w:hAnsi="Times New Roman"/>
                <w:b w:val="0"/>
                <w:sz w:val="18"/>
              </w:rPr>
              <w:t>Ngữ liệu ngoài sách giáo khoa: Tiếng nói của lương tri (văn bản nghị luận xã hội); Đi và suy ngẫm (văn bản thông tin)</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40%</w:t>
            </w:r>
          </w:p>
        </w:tc>
      </w:tr>
      <w:tr>
        <w:tc>
          <w:tcPr>
            <w:tcW w:type="dxa" w:w="510"/>
            <w:vMerge w:val="restart"/>
          </w:tcPr>
          <w:p>
            <w:pPr>
              <w:spacing w:after="20"/>
              <w:jc w:val="center"/>
            </w:pPr>
            <w:r/>
            <w:r>
              <w:rPr>
                <w:rFonts w:ascii="Times New Roman" w:hAnsi="Times New Roman"/>
                <w:b w:val="0"/>
                <w:sz w:val="18"/>
              </w:rPr>
              <w:t>2</w:t>
            </w:r>
          </w:p>
        </w:tc>
        <w:tc>
          <w:tcPr>
            <w:tcW w:type="dxa" w:w="1600"/>
            <w:vMerge w:val="restart"/>
          </w:tcPr>
          <w:p>
            <w:pPr>
              <w:spacing w:after="20"/>
              <w:jc w:val="left"/>
            </w:pPr>
            <w:r/>
            <w:r>
              <w:rPr>
                <w:rFonts w:ascii="Times New Roman" w:hAnsi="Times New Roman"/>
                <w:b/>
                <w:sz w:val="18"/>
              </w:rPr>
              <w:t>Viết</w:t>
            </w:r>
          </w:p>
        </w:tc>
        <w:tc>
          <w:tcPr>
            <w:tcW w:type="dxa" w:w="7303"/>
          </w:tcPr>
          <w:p>
            <w:pPr>
              <w:spacing w:after="20"/>
              <w:jc w:val="left"/>
            </w:pPr>
            <w:r/>
            <w:r>
              <w:rPr>
                <w:rFonts w:ascii="Times New Roman" w:hAnsi="Times New Roman"/>
                <w:b w:val="0"/>
                <w:sz w:val="18"/>
              </w:rPr>
              <w:t>Viết đoạn văn nghị luận (khoảng 200 chữ) về một vấn đề gợi ra từ văn bản ở phần Đọc hiểu</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20%</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Viết bài văn nghị luận về một vấn đề cần giải quyết (trong đời sống xã hội) hoặc Viết bài thuyết minh về một danh lam thắng cảnh hay một di tích lịch sử</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40%</w:t>
            </w:r>
          </w:p>
        </w:tc>
      </w:tr>
      <w:tr>
        <w:tc>
          <w:tcPr>
            <w:tcW w:type="dxa" w:w="9413"/>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1</w:t>
            </w:r>
          </w:p>
        </w:tc>
        <w:tc>
          <w:tcPr>
            <w:tcW w:type="dxa" w:w="652"/>
            <w:shd w:val="clear" w:color="auto" w:fill="F2F2F2"/>
          </w:tcPr>
          <w:p>
            <w:pPr>
              <w:spacing w:after="20"/>
              <w:jc w:val="center"/>
            </w:pPr>
            <w:r/>
            <w:r>
              <w:rPr>
                <w:rFonts w:ascii="Times New Roman" w:hAnsi="Times New Roman"/>
                <w:b/>
                <w:sz w:val="18"/>
              </w:rPr>
              <w:t>1</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963"/>
            <w:shd w:val="clear" w:color="auto" w:fill="F2F2F2"/>
          </w:tcPr>
          <w:p>
            <w:pPr>
              <w:spacing w:after="20"/>
              <w:jc w:val="center"/>
            </w:pPr>
            <w:r/>
            <w:r>
              <w:rPr>
                <w:rFonts w:ascii="Times New Roman" w:hAnsi="Times New Roman"/>
                <w:b/>
                <w:sz w:val="18"/>
              </w:rPr>
              <w:t>10</w:t>
            </w:r>
          </w:p>
        </w:tc>
        <w:tc>
          <w:tcPr>
            <w:tcW w:type="dxa" w:w="850"/>
            <w:shd w:val="clear" w:color="auto" w:fill="F2F2F2"/>
          </w:tcPr>
          <w:p>
            <w:pPr>
              <w:spacing w:after="20"/>
              <w:jc w:val="center"/>
            </w:pPr>
            <w:r/>
            <w:r>
              <w:rPr>
                <w:rFonts w:ascii="Times New Roman" w:hAnsi="Times New Roman"/>
                <w:b/>
                <w:sz w:val="18"/>
              </w:rPr>
              <w:t>100%</w:t>
            </w:r>
          </w:p>
        </w:tc>
      </w:tr>
      <w:tr>
        <w:tc>
          <w:tcPr>
            <w:tcW w:type="dxa" w:w="9413"/>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4 điểm</w:t>
            </w:r>
          </w:p>
        </w:tc>
        <w:tc>
          <w:tcPr>
            <w:tcW w:type="dxa" w:w="1956"/>
            <w:gridSpan w:val="3"/>
            <w:shd w:val="clear" w:color="auto" w:fill="F2F2F2"/>
          </w:tcPr>
          <w:p>
            <w:pPr>
              <w:spacing w:after="20"/>
              <w:jc w:val="center"/>
            </w:pPr>
            <w:r/>
            <w:r>
              <w:rPr>
                <w:rFonts w:ascii="Times New Roman" w:hAnsi="Times New Roman"/>
                <w:b/>
                <w:sz w:val="18"/>
              </w:rPr>
              <w:t>6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9413"/>
            <w:gridSpan w:val="3"/>
            <w:shd w:val="clear" w:color="auto" w:fill="F2F2F2"/>
          </w:tcPr>
          <w:p>
            <w:pPr>
              <w:spacing w:after="20"/>
              <w:jc w:val="left"/>
            </w:pPr>
            <w:r/>
            <w:r>
              <w:rPr>
                <w:rFonts w:ascii="Times New Roman" w:hAnsi="Times New Roman"/>
                <w:b/>
                <w:sz w:val="18"/>
              </w:rPr>
              <w:t>Tỉ lệ theo mức độ (NB – TH – VD)</w:t>
            </w:r>
          </w:p>
        </w:tc>
        <w:tc>
          <w:tcPr>
            <w:tcW w:type="dxa" w:w="5725"/>
            <w:gridSpan w:val="8"/>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1,0 điểm. Phần II: câu 1 (đoạn văn) 2,0 điểm, câu 2 (bài văn) 4,0 điểm; điểm phần Viết chia theo mức độ, mỗi ý 1,0 điểm. Bài kiểm tra cuối kì đánh giá cả học kì; ngữ liệu đọc hiểu và đề viết ưu tiên các bài học sau kiểm tra giữa kì.</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7939"/>
        <w:gridCol w:w="567"/>
        <w:gridCol w:w="567"/>
        <w:gridCol w:w="567"/>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7939"/>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3402"/>
            <w:gridSpan w:val="6"/>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7939"/>
            <w:vMerge/>
          </w:tcPr>
          <w:p/>
        </w:tc>
        <w:tc>
          <w:tcPr>
            <w:tcW w:type="dxa" w:w="1701"/>
            <w:gridSpan w:val="3"/>
            <w:shd w:val="clear" w:color="auto" w:fill="D9E2F3"/>
          </w:tcPr>
          <w:p>
            <w:pPr>
              <w:spacing w:after="20"/>
              <w:jc w:val="center"/>
            </w:pPr>
            <w:r/>
            <w:r>
              <w:rPr>
                <w:rFonts w:ascii="Times New Roman" w:hAnsi="Times New Roman"/>
                <w:b/>
                <w:sz w:val="18"/>
              </w:rPr>
              <w:t>Đọc hiểu</w:t>
            </w:r>
          </w:p>
        </w:tc>
        <w:tc>
          <w:tcPr>
            <w:tcW w:type="dxa" w:w="1701"/>
            <w:gridSpan w:val="3"/>
            <w:shd w:val="clear" w:color="auto" w:fill="D9E2F3"/>
          </w:tcPr>
          <w:p>
            <w:pPr>
              <w:spacing w:after="20"/>
              <w:jc w:val="center"/>
            </w:pPr>
            <w:r/>
            <w:r>
              <w:rPr>
                <w:rFonts w:ascii="Times New Roman" w:hAnsi="Times New Roman"/>
                <w:b/>
                <w:sz w:val="18"/>
              </w:rPr>
              <w:t>Viết (ý)</w:t>
            </w:r>
          </w:p>
        </w:tc>
      </w:tr>
      <w:tr>
        <w:tc>
          <w:tcPr>
            <w:tcW w:type="dxa" w:w="510"/>
            <w:vMerge/>
          </w:tcPr>
          <w:p/>
        </w:tc>
        <w:tc>
          <w:tcPr>
            <w:tcW w:type="dxa" w:w="1360"/>
            <w:vMerge/>
          </w:tcPr>
          <w:p/>
        </w:tc>
        <w:tc>
          <w:tcPr>
            <w:tcW w:type="dxa" w:w="1927"/>
            <w:vMerge/>
          </w:tcPr>
          <w:p/>
        </w:tc>
        <w:tc>
          <w:tcPr>
            <w:tcW w:type="dxa" w:w="7939"/>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tcPr>
          <w:p>
            <w:pPr>
              <w:spacing w:after="20"/>
              <w:jc w:val="center"/>
            </w:pPr>
            <w:r/>
            <w:r>
              <w:rPr>
                <w:rFonts w:ascii="Times New Roman" w:hAnsi="Times New Roman"/>
                <w:b w:val="0"/>
                <w:sz w:val="18"/>
              </w:rPr>
              <w:t>1</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Ngữ liệu ngoài sách giáo khoa: Tiếng nói của lương tri (văn bản nghị luận xã hội); Đi và suy ngẫm (văn bản thông tin)</w:t>
            </w:r>
          </w:p>
        </w:tc>
        <w:tc>
          <w:tcPr>
            <w:tcW w:type="dxa" w:w="7939"/>
          </w:tcPr>
          <w:p>
            <w:r/>
            <w:r>
              <w:rPr>
                <w:b/>
                <w:sz w:val="18"/>
              </w:rPr>
              <w:t>Nhận biết:</w:t>
            </w:r>
          </w:p>
          <w:p>
            <w:pPr>
              <w:spacing w:after="0"/>
            </w:pPr>
            <w:r>
              <w:rPr>
                <w:sz w:val="18"/>
              </w:rPr>
              <w:t>- Nhận biết được vấn đề, ý kiến, lí lẽ và bằng chứng trong văn bản nghị luận xã hội.</w:t>
            </w:r>
          </w:p>
          <w:p>
            <w:pPr>
              <w:spacing w:after="0"/>
            </w:pPr>
            <w:r>
              <w:rPr>
                <w:sz w:val="18"/>
              </w:rPr>
              <w:t>- Nhận biết được thông tin cơ bản, cách triển khai và các phương tiện phi ngôn ngữ trong văn bản thông tin.</w:t>
            </w:r>
          </w:p>
          <w:p>
            <w:r>
              <w:rPr>
                <w:b/>
                <w:sz w:val="18"/>
              </w:rPr>
              <w:t>Thông hiểu:</w:t>
            </w:r>
          </w:p>
          <w:p>
            <w:pPr>
              <w:spacing w:after="0"/>
            </w:pPr>
            <w:r>
              <w:rPr>
                <w:sz w:val="18"/>
              </w:rPr>
              <w:t>- Chỉ ra được mối quan hệ giữa ý kiến, lí lẽ và bằng chứng; hiểu được mục đích, quan điểm của người viết.</w:t>
            </w:r>
          </w:p>
          <w:p>
            <w:pPr>
              <w:spacing w:after="0"/>
            </w:pPr>
            <w:r>
              <w:rPr>
                <w:sz w:val="18"/>
              </w:rPr>
              <w:t>- Hiểu được mục đích và tác dụng của cách trình bày thông tin; tóm tắt được ý chính của văn bản.</w:t>
            </w:r>
          </w:p>
          <w:p>
            <w:pPr>
              <w:spacing w:after="0"/>
            </w:pPr>
            <w:r>
              <w:rPr>
                <w:sz w:val="18"/>
              </w:rPr>
              <w:t>- Nêu được tác dụng của nghĩa và cách dùng tên viết tắt các tổ chức quốc tế quan trọng; lựa chọn câu đơn hoặc câu ghép, các kiểu câu ghép; biến đổi cấu trúc câu trong văn bản.</w:t>
            </w:r>
          </w:p>
          <w:p>
            <w:r>
              <w:rPr>
                <w:b/>
                <w:sz w:val="18"/>
              </w:rPr>
              <w:t>Vận dụng:</w:t>
            </w:r>
          </w:p>
          <w:p>
            <w:pPr>
              <w:spacing w:after="0"/>
            </w:pPr>
            <w:r>
              <w:rPr>
                <w:sz w:val="18"/>
              </w:rPr>
              <w:t>- Nêu được ý kiến của bản thân (đồng tình hoặc không) về vấn đề đặt ra trong văn bản và lí giải.</w:t>
            </w:r>
          </w:p>
          <w:p>
            <w:pPr>
              <w:spacing w:after="0"/>
            </w:pPr>
            <w:r>
              <w:rPr>
                <w:sz w:val="18"/>
              </w:rPr>
              <w:t>- Liên hệ được thông tin trong văn bản với đời sống; đề xuất được việc làm phù hợp.</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val="restart"/>
          </w:tcPr>
          <w:p>
            <w:pPr>
              <w:spacing w:after="20"/>
              <w:jc w:val="center"/>
            </w:pPr>
            <w:r/>
            <w:r>
              <w:rPr>
                <w:rFonts w:ascii="Times New Roman" w:hAnsi="Times New Roman"/>
                <w:b w:val="0"/>
                <w:sz w:val="18"/>
              </w:rPr>
              <w:t>2</w:t>
            </w:r>
          </w:p>
        </w:tc>
        <w:tc>
          <w:tcPr>
            <w:tcW w:type="dxa" w:w="1360"/>
            <w:vMerge w:val="restart"/>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Viết đoạn văn nghị luận (khoảng 200 chữ) về một vấn đề gợi ra từ văn bản ở phần Đọc hiểu</w:t>
            </w:r>
          </w:p>
        </w:tc>
        <w:tc>
          <w:tcPr>
            <w:tcW w:type="dxa" w:w="7939"/>
          </w:tcPr>
          <w:p>
            <w:r/>
            <w:r>
              <w:rPr>
                <w:b/>
                <w:sz w:val="18"/>
              </w:rPr>
              <w:t>Thông hiểu:</w:t>
            </w:r>
          </w:p>
          <w:p>
            <w:pPr>
              <w:spacing w:after="0"/>
            </w:pPr>
            <w:r>
              <w:rPr>
                <w:sz w:val="18"/>
              </w:rPr>
              <w:t>- Giải thích được vấn đề; trình bày ý kiến bằng lí lẽ và bằng chứng xác thực.</w:t>
            </w:r>
          </w:p>
          <w:p>
            <w:r>
              <w:rPr>
                <w:b/>
                <w:sz w:val="18"/>
              </w:rPr>
              <w:t>Vận dụng:</w:t>
            </w:r>
          </w:p>
          <w:p>
            <w:pPr>
              <w:spacing w:after="0"/>
            </w:pPr>
            <w:r>
              <w:rPr>
                <w:sz w:val="18"/>
              </w:rPr>
              <w:t>- Đề xuất được giải pháp hoặc bài học phù hợp; diễn đạt mạch lạc, có sức thuyết phục.</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Viết bài văn nghị luận về một vấn đề cần giải quyết (trong đời sống xã hội) hoặc Viết bài thuyết minh về một danh lam thắng cảnh hay một di tích lịch sử</w:t>
            </w:r>
          </w:p>
        </w:tc>
        <w:tc>
          <w:tcPr>
            <w:tcW w:type="dxa" w:w="7939"/>
          </w:tcPr>
          <w:p>
            <w:r/>
            <w:r>
              <w:rPr>
                <w:b/>
                <w:sz w:val="18"/>
              </w:rPr>
              <w:t>Nhận biết:</w:t>
            </w:r>
          </w:p>
          <w:p>
            <w:pPr>
              <w:spacing w:after="0"/>
            </w:pPr>
            <w:r>
              <w:rPr>
                <w:sz w:val="18"/>
              </w:rPr>
              <w:t>- Xác định được vấn đề cần bàn luận; bảo đảm bố cục bài văn nghị luận.</w:t>
            </w:r>
          </w:p>
          <w:p>
            <w:pPr>
              <w:spacing w:after="0"/>
            </w:pPr>
            <w:r>
              <w:rPr>
                <w:sz w:val="18"/>
              </w:rPr>
              <w:t>- Xác định được đối tượng thuyết minh; bảo đảm bố cục văn bản thuyết minh.</w:t>
            </w:r>
          </w:p>
          <w:p>
            <w:r>
              <w:rPr>
                <w:b/>
                <w:sz w:val="18"/>
              </w:rPr>
              <w:t>Thông hiểu:</w:t>
            </w:r>
          </w:p>
          <w:p>
            <w:pPr>
              <w:spacing w:after="0"/>
            </w:pPr>
            <w:r>
              <w:rPr>
                <w:sz w:val="18"/>
              </w:rPr>
              <w:t>- Giải thích được vấn đề; trình bày ý kiến bằng lí lẽ và bằng chứng xác thực.</w:t>
            </w:r>
          </w:p>
          <w:p>
            <w:pPr>
              <w:spacing w:after="0"/>
            </w:pPr>
            <w:r>
              <w:rPr>
                <w:sz w:val="18"/>
              </w:rPr>
              <w:t>- Trình bày được thông tin chính xác, khách quan, theo trình tự hợp lí.</w:t>
            </w:r>
          </w:p>
          <w:p>
            <w:r>
              <w:rPr>
                <w:b/>
                <w:sz w:val="18"/>
              </w:rPr>
              <w:t>Vận dụng:</w:t>
            </w:r>
          </w:p>
          <w:p>
            <w:pPr>
              <w:spacing w:after="0"/>
            </w:pPr>
            <w:r>
              <w:rPr>
                <w:sz w:val="18"/>
              </w:rPr>
              <w:t>- Đề xuất được giải pháp hoặc bài học phù hợp; diễn đạt mạch lạc, có sức thuyết phục.</w:t>
            </w:r>
          </w:p>
          <w:p>
            <w:pPr>
              <w:spacing w:after="0"/>
            </w:pPr>
            <w:r>
              <w:rPr>
                <w:sz w:val="18"/>
              </w:rPr>
              <w:t>- Viết được văn bản hoàn chỉnh, sử dụng phù hợp các phương tiện hỗ trợ và cách diễn đạt sinh động.</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smarttest.vn/vi/ma-tran-de-kiem-tra/lop-9/ngu-van/cuoi-ki-2</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9/ngu-van/cuoi-ki-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cuối học kì ii Ngữ văn 9</dc:title>
  <dc:subject>Ngữ văn 9 – Kết nối tri thức</dc:subject>
  <dc:creator>SmartTest</dc:creator>
  <cp:keywords>ma trận đề kiểm tra, bản đặc tả, ngữ văn 9, cuối học kì ii</cp:keywords>
  <dc:description/>
  <cp:lastModifiedBy>SmartTest</cp:lastModifiedBy>
  <cp:revision>1</cp:revision>
  <dcterms:created xsi:type="dcterms:W3CDTF">2026-10-30T05:28:07Z</dcterms:created>
  <dcterms:modified xsi:type="dcterms:W3CDTF">2026-10-30T05:28:07Z</dcterms:modified>
  <cp:category/>
</cp:coreProperties>
</file>